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0EB" w:rsidRPr="007730EB" w:rsidRDefault="007730EB" w:rsidP="00F366FD">
      <w:pPr>
        <w:keepNext/>
        <w:spacing w:before="240" w:after="60" w:line="240" w:lineRule="auto"/>
        <w:jc w:val="center"/>
        <w:outlineLvl w:val="2"/>
        <w:rPr>
          <w:rFonts w:ascii="Times New Roman" w:eastAsia="Times New Roman" w:hAnsi="Times New Roman" w:cs="Times New Roman"/>
          <w:b/>
          <w:bCs/>
          <w:sz w:val="28"/>
          <w:szCs w:val="28"/>
        </w:rPr>
      </w:pPr>
      <w:bookmarkStart w:id="0" w:name="OLE_LINK1"/>
      <w:bookmarkStart w:id="1" w:name="OLE_LINK2"/>
      <w:bookmarkStart w:id="2" w:name="OLE_LINK19"/>
      <w:bookmarkStart w:id="3" w:name="OLE_LINK20"/>
      <w:bookmarkStart w:id="4" w:name="OLE_LINK3"/>
      <w:bookmarkStart w:id="5" w:name="OLE_LINK4"/>
      <w:r w:rsidRPr="00B6553A">
        <w:rPr>
          <w:rFonts w:ascii="Times New Roman" w:eastAsia="Times New Roman" w:hAnsi="Times New Roman" w:cs="Times New Roman"/>
          <w:b/>
          <w:color w:val="000000"/>
          <w:sz w:val="28"/>
          <w:szCs w:val="28"/>
        </w:rPr>
        <w:t xml:space="preserve">Ministru kabineta noteikumu projekta </w:t>
      </w:r>
      <w:r>
        <w:rPr>
          <w:rFonts w:ascii="Times New Roman" w:eastAsia="Times New Roman" w:hAnsi="Times New Roman" w:cs="Times New Roman"/>
          <w:b/>
          <w:color w:val="000000"/>
          <w:sz w:val="28"/>
          <w:szCs w:val="28"/>
        </w:rPr>
        <w:t>„</w:t>
      </w:r>
      <w:r w:rsidRPr="00ED52F9">
        <w:rPr>
          <w:rFonts w:ascii="Times New Roman" w:eastAsia="Times New Roman" w:hAnsi="Times New Roman" w:cs="Times New Roman"/>
          <w:b/>
          <w:sz w:val="28"/>
          <w:szCs w:val="28"/>
        </w:rPr>
        <w:t>Grozījumi Ministru kabineta 2011.gada 15.februāra noteikumos Nr.132 „</w:t>
      </w:r>
      <w:r w:rsidRPr="00ED52F9">
        <w:rPr>
          <w:rFonts w:ascii="Times New Roman" w:eastAsia="Times New Roman" w:hAnsi="Times New Roman" w:cs="Times New Roman"/>
          <w:b/>
          <w:bCs/>
          <w:sz w:val="28"/>
          <w:szCs w:val="28"/>
        </w:rPr>
        <w:t>Rotaļlietu drošuma noteikumi”</w:t>
      </w:r>
      <w:r>
        <w:rPr>
          <w:rFonts w:ascii="Times New Roman" w:eastAsia="Times New Roman" w:hAnsi="Times New Roman" w:cs="Times New Roman"/>
          <w:b/>
          <w:color w:val="000000"/>
          <w:sz w:val="28"/>
          <w:szCs w:val="28"/>
        </w:rPr>
        <w:t xml:space="preserve">” </w:t>
      </w:r>
      <w:r w:rsidRPr="00B6553A">
        <w:rPr>
          <w:rFonts w:ascii="Times New Roman" w:eastAsia="Times New Roman" w:hAnsi="Times New Roman" w:cs="Times New Roman"/>
          <w:b/>
          <w:color w:val="000000"/>
          <w:sz w:val="28"/>
          <w:szCs w:val="28"/>
        </w:rPr>
        <w:t>sākotnējās ietekmes novērtējuma ziņojums</w:t>
      </w:r>
    </w:p>
    <w:p w:rsidR="007730EB" w:rsidRDefault="007730EB" w:rsidP="00F366FD">
      <w:pPr>
        <w:spacing w:after="0" w:line="240" w:lineRule="auto"/>
        <w:jc w:val="center"/>
        <w:rPr>
          <w:rFonts w:ascii="Times New Roman" w:eastAsia="Times New Roman" w:hAnsi="Times New Roman" w:cs="Times New Roman"/>
          <w:b/>
          <w:color w:val="000000"/>
          <w:sz w:val="28"/>
          <w:szCs w:val="28"/>
        </w:rPr>
      </w:pPr>
      <w:r w:rsidRPr="00B6553A">
        <w:rPr>
          <w:rFonts w:ascii="Times New Roman" w:eastAsia="Times New Roman" w:hAnsi="Times New Roman" w:cs="Times New Roman"/>
          <w:b/>
          <w:color w:val="000000"/>
          <w:sz w:val="28"/>
          <w:szCs w:val="28"/>
        </w:rPr>
        <w:t>(anotācija)</w:t>
      </w:r>
      <w:bookmarkEnd w:id="0"/>
      <w:bookmarkEnd w:id="1"/>
      <w:bookmarkEnd w:id="2"/>
      <w:bookmarkEnd w:id="3"/>
      <w:bookmarkEnd w:id="4"/>
      <w:bookmarkEnd w:id="5"/>
    </w:p>
    <w:p w:rsidR="007730EB" w:rsidRPr="00B6553A" w:rsidRDefault="007730EB" w:rsidP="00F366FD">
      <w:pPr>
        <w:spacing w:after="0" w:line="240" w:lineRule="auto"/>
        <w:jc w:val="center"/>
        <w:rPr>
          <w:rFonts w:ascii="Times New Roman" w:eastAsia="Times New Roman" w:hAnsi="Times New Roman" w:cs="Times New Roman"/>
          <w:b/>
          <w:color w:val="000000"/>
          <w:sz w:val="28"/>
          <w:szCs w:val="28"/>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
        <w:gridCol w:w="2485"/>
        <w:gridCol w:w="6173"/>
      </w:tblGrid>
      <w:tr w:rsidR="007730EB" w:rsidRPr="00B6553A" w:rsidTr="00F366FD">
        <w:tc>
          <w:tcPr>
            <w:tcW w:w="5000" w:type="pct"/>
            <w:gridSpan w:val="3"/>
            <w:vAlign w:val="center"/>
          </w:tcPr>
          <w:p w:rsidR="007730EB" w:rsidRPr="00B6553A" w:rsidRDefault="007730EB" w:rsidP="00F366FD">
            <w:pPr>
              <w:spacing w:after="0" w:line="240" w:lineRule="auto"/>
              <w:jc w:val="center"/>
              <w:rPr>
                <w:rFonts w:ascii="Times New Roman" w:eastAsia="Times New Roman" w:hAnsi="Times New Roman" w:cs="Times New Roman"/>
                <w:b/>
                <w:bCs/>
                <w:color w:val="000000"/>
                <w:sz w:val="24"/>
                <w:szCs w:val="24"/>
                <w:lang w:eastAsia="lv-LV"/>
              </w:rPr>
            </w:pPr>
            <w:r w:rsidRPr="00B6553A">
              <w:rPr>
                <w:rFonts w:ascii="Times New Roman" w:eastAsia="Times New Roman" w:hAnsi="Times New Roman" w:cs="Times New Roman"/>
                <w:b/>
                <w:bCs/>
                <w:color w:val="000000"/>
                <w:sz w:val="28"/>
                <w:szCs w:val="24"/>
                <w:lang w:eastAsia="lv-LV"/>
              </w:rPr>
              <w:t>I. Tiesību akta projekta izstrādes nepieciešamība</w:t>
            </w:r>
          </w:p>
        </w:tc>
      </w:tr>
      <w:tr w:rsidR="007730EB" w:rsidRPr="00B6553A" w:rsidTr="00F366FD">
        <w:tc>
          <w:tcPr>
            <w:tcW w:w="244" w:type="pct"/>
          </w:tcPr>
          <w:p w:rsidR="007730EB" w:rsidRPr="004E0DDF" w:rsidRDefault="007730EB" w:rsidP="00014187">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1.</w:t>
            </w:r>
          </w:p>
        </w:tc>
        <w:tc>
          <w:tcPr>
            <w:tcW w:w="136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Pamatojums</w:t>
            </w:r>
          </w:p>
        </w:tc>
        <w:tc>
          <w:tcPr>
            <w:tcW w:w="3390" w:type="pct"/>
          </w:tcPr>
          <w:p w:rsidR="00816920" w:rsidRPr="004E0DDF" w:rsidRDefault="00C12D96" w:rsidP="00D77A8E">
            <w:pPr>
              <w:spacing w:after="0" w:line="240" w:lineRule="auto"/>
              <w:ind w:firstLine="190"/>
              <w:jc w:val="both"/>
              <w:rPr>
                <w:rFonts w:ascii="Times New Roman" w:hAnsi="Times New Roman" w:cs="Times New Roman"/>
                <w:sz w:val="25"/>
                <w:szCs w:val="25"/>
              </w:rPr>
            </w:pPr>
            <w:r w:rsidRPr="004E0DDF">
              <w:rPr>
                <w:rFonts w:ascii="Times New Roman" w:hAnsi="Times New Roman" w:cs="Times New Roman"/>
                <w:sz w:val="25"/>
                <w:szCs w:val="25"/>
              </w:rPr>
              <w:t xml:space="preserve">Ministru kabineta noteikumu projekts </w:t>
            </w:r>
            <w:r w:rsidRPr="004E0DDF">
              <w:rPr>
                <w:rFonts w:ascii="Times New Roman" w:eastAsia="Times New Roman" w:hAnsi="Times New Roman" w:cs="Times New Roman"/>
                <w:color w:val="000000"/>
                <w:sz w:val="25"/>
                <w:szCs w:val="25"/>
              </w:rPr>
              <w:t>„</w:t>
            </w:r>
            <w:r w:rsidRPr="004E0DDF">
              <w:rPr>
                <w:rFonts w:ascii="Times New Roman" w:eastAsia="Times New Roman" w:hAnsi="Times New Roman" w:cs="Times New Roman"/>
                <w:sz w:val="25"/>
                <w:szCs w:val="25"/>
              </w:rPr>
              <w:t>Grozījumi Ministru kabineta 2011.gada 15.februāra noteikumos Nr.132 „</w:t>
            </w:r>
            <w:r w:rsidRPr="004E0DDF">
              <w:rPr>
                <w:rFonts w:ascii="Times New Roman" w:eastAsia="Times New Roman" w:hAnsi="Times New Roman" w:cs="Times New Roman"/>
                <w:bCs/>
                <w:sz w:val="25"/>
                <w:szCs w:val="25"/>
              </w:rPr>
              <w:t>Rotaļlietu drošuma noteikumi”</w:t>
            </w:r>
            <w:r w:rsidRPr="004E0DDF">
              <w:rPr>
                <w:rFonts w:ascii="Times New Roman" w:eastAsia="Times New Roman" w:hAnsi="Times New Roman" w:cs="Times New Roman"/>
                <w:color w:val="000000"/>
                <w:sz w:val="25"/>
                <w:szCs w:val="25"/>
              </w:rPr>
              <w:t>”</w:t>
            </w:r>
            <w:r w:rsidR="006A0418" w:rsidRPr="004E0DDF">
              <w:rPr>
                <w:rFonts w:ascii="Times New Roman" w:eastAsia="Times New Roman" w:hAnsi="Times New Roman" w:cs="Times New Roman"/>
                <w:color w:val="000000"/>
                <w:sz w:val="25"/>
                <w:szCs w:val="25"/>
              </w:rPr>
              <w:t xml:space="preserve"> (turpmāk – Noteikumu projekts) ir izstrādāts </w:t>
            </w:r>
            <w:r w:rsidR="00431DD7" w:rsidRPr="004E0DDF">
              <w:rPr>
                <w:rFonts w:ascii="Times New Roman" w:eastAsia="Times New Roman" w:hAnsi="Times New Roman" w:cs="Times New Roman"/>
                <w:color w:val="000000"/>
                <w:sz w:val="25"/>
                <w:szCs w:val="25"/>
              </w:rPr>
              <w:t xml:space="preserve">gan </w:t>
            </w:r>
            <w:r w:rsidR="006A0418" w:rsidRPr="004E0DDF">
              <w:rPr>
                <w:rFonts w:ascii="Times New Roman" w:eastAsia="Times New Roman" w:hAnsi="Times New Roman" w:cs="Times New Roman"/>
                <w:color w:val="000000"/>
                <w:sz w:val="25"/>
                <w:szCs w:val="25"/>
              </w:rPr>
              <w:t xml:space="preserve">pēc Ekonomikas ministrijas iniciatīvas, lai pilnveidotu </w:t>
            </w:r>
            <w:r w:rsidR="00B95572" w:rsidRPr="004E0DDF">
              <w:rPr>
                <w:rFonts w:ascii="Times New Roman" w:eastAsia="Times New Roman" w:hAnsi="Times New Roman" w:cs="Times New Roman"/>
                <w:color w:val="000000"/>
                <w:sz w:val="25"/>
                <w:szCs w:val="25"/>
              </w:rPr>
              <w:t>Ministru kabineta 2011.gada 15.februāra noteikumu Nr.132 „Rotaļlietu drošuma noteikumi”</w:t>
            </w:r>
            <w:r w:rsidR="00431DD7" w:rsidRPr="004E0DDF">
              <w:rPr>
                <w:rFonts w:ascii="Times New Roman" w:eastAsia="Times New Roman" w:hAnsi="Times New Roman" w:cs="Times New Roman"/>
                <w:color w:val="000000"/>
                <w:sz w:val="25"/>
                <w:szCs w:val="25"/>
              </w:rPr>
              <w:t xml:space="preserve"> (turpmāk – Noteikumi Nr.132)</w:t>
            </w:r>
            <w:r w:rsidR="00B95572" w:rsidRPr="004E0DDF">
              <w:rPr>
                <w:rFonts w:ascii="Times New Roman" w:eastAsia="Times New Roman" w:hAnsi="Times New Roman" w:cs="Times New Roman"/>
                <w:color w:val="000000"/>
                <w:sz w:val="25"/>
                <w:szCs w:val="25"/>
              </w:rPr>
              <w:t xml:space="preserve"> normas, kurās ir ieviestas Eiropas Parlamenta un Padomes 2009.gada 18.jūnija direktīvas 2009/48/EK </w:t>
            </w:r>
            <w:r w:rsidR="00B95572" w:rsidRPr="004E0DDF">
              <w:rPr>
                <w:rFonts w:ascii="Times New Roman" w:eastAsia="Times New Roman" w:hAnsi="Times New Roman" w:cs="Times New Roman"/>
                <w:i/>
                <w:color w:val="000000"/>
                <w:sz w:val="25"/>
                <w:szCs w:val="25"/>
              </w:rPr>
              <w:t xml:space="preserve">par rotaļlietu drošumu </w:t>
            </w:r>
            <w:r w:rsidR="00B95572" w:rsidRPr="004E0DDF">
              <w:rPr>
                <w:rFonts w:ascii="Times New Roman" w:eastAsia="Times New Roman" w:hAnsi="Times New Roman" w:cs="Times New Roman"/>
                <w:color w:val="000000"/>
                <w:sz w:val="25"/>
                <w:szCs w:val="25"/>
              </w:rPr>
              <w:t xml:space="preserve">(turpmāk – </w:t>
            </w:r>
            <w:r w:rsidR="0012740A" w:rsidRPr="004E0DDF">
              <w:rPr>
                <w:rFonts w:ascii="Times New Roman" w:eastAsia="Times New Roman" w:hAnsi="Times New Roman" w:cs="Times New Roman"/>
                <w:color w:val="000000"/>
                <w:sz w:val="25"/>
                <w:szCs w:val="25"/>
              </w:rPr>
              <w:t>D</w:t>
            </w:r>
            <w:r w:rsidR="00B95572" w:rsidRPr="004E0DDF">
              <w:rPr>
                <w:rFonts w:ascii="Times New Roman" w:eastAsia="Times New Roman" w:hAnsi="Times New Roman" w:cs="Times New Roman"/>
                <w:color w:val="000000"/>
                <w:sz w:val="25"/>
                <w:szCs w:val="25"/>
              </w:rPr>
              <w:t>irektīva 2009/48/EK)</w:t>
            </w:r>
            <w:r w:rsidR="00431DD7" w:rsidRPr="004E0DDF">
              <w:rPr>
                <w:rFonts w:ascii="Times New Roman" w:eastAsia="Times New Roman" w:hAnsi="Times New Roman" w:cs="Times New Roman"/>
                <w:color w:val="000000"/>
                <w:sz w:val="25"/>
                <w:szCs w:val="25"/>
              </w:rPr>
              <w:t xml:space="preserve"> prasības, gan arī lai </w:t>
            </w:r>
            <w:r w:rsidR="00D77A8E">
              <w:rPr>
                <w:rFonts w:ascii="Times New Roman" w:eastAsia="Times New Roman" w:hAnsi="Times New Roman" w:cs="Times New Roman"/>
                <w:color w:val="000000"/>
                <w:sz w:val="25"/>
                <w:szCs w:val="25"/>
              </w:rPr>
              <w:t>pielāgotu</w:t>
            </w:r>
            <w:r w:rsidR="00431DD7" w:rsidRPr="004E0DDF">
              <w:rPr>
                <w:rFonts w:ascii="Times New Roman" w:eastAsia="Times New Roman" w:hAnsi="Times New Roman" w:cs="Times New Roman"/>
                <w:color w:val="000000"/>
                <w:sz w:val="25"/>
                <w:szCs w:val="25"/>
              </w:rPr>
              <w:t xml:space="preserve"> Noteikumos Nr.132 </w:t>
            </w:r>
            <w:r w:rsidR="00D77A8E">
              <w:rPr>
                <w:rFonts w:ascii="Times New Roman" w:eastAsia="Times New Roman" w:hAnsi="Times New Roman" w:cs="Times New Roman"/>
                <w:color w:val="000000"/>
                <w:sz w:val="25"/>
                <w:szCs w:val="25"/>
              </w:rPr>
              <w:t xml:space="preserve">pārņemtās Direktīvas 2009/48/EK normas atbilstoši </w:t>
            </w:r>
            <w:r w:rsidR="00431DD7" w:rsidRPr="004E0DDF">
              <w:rPr>
                <w:rFonts w:ascii="Times New Roman" w:eastAsia="Times New Roman" w:hAnsi="Times New Roman" w:cs="Times New Roman"/>
                <w:color w:val="000000"/>
                <w:sz w:val="25"/>
                <w:szCs w:val="25"/>
              </w:rPr>
              <w:t xml:space="preserve">Komisijas 2013.gada 17.jūlija Regulas (ES) Nr.681/2013, ar ko groza II pielikuma III daļu Eiropas Parlamenta un Padomes Direktīvai 2009/48/EK </w:t>
            </w:r>
            <w:r w:rsidR="00431DD7" w:rsidRPr="004E0DDF">
              <w:rPr>
                <w:rFonts w:ascii="Times New Roman" w:eastAsia="Times New Roman" w:hAnsi="Times New Roman" w:cs="Times New Roman"/>
                <w:i/>
                <w:color w:val="000000"/>
                <w:sz w:val="25"/>
                <w:szCs w:val="25"/>
              </w:rPr>
              <w:t>par rotaļlietu drošumu</w:t>
            </w:r>
            <w:r w:rsidR="00307713" w:rsidRPr="004E0DDF">
              <w:rPr>
                <w:rFonts w:ascii="Times New Roman" w:eastAsia="Times New Roman" w:hAnsi="Times New Roman" w:cs="Times New Roman"/>
                <w:color w:val="000000"/>
                <w:sz w:val="25"/>
                <w:szCs w:val="25"/>
              </w:rPr>
              <w:t xml:space="preserve"> (turpmāk – </w:t>
            </w:r>
            <w:r w:rsidR="0012740A" w:rsidRPr="004E0DDF">
              <w:rPr>
                <w:rFonts w:ascii="Times New Roman" w:eastAsia="Times New Roman" w:hAnsi="Times New Roman" w:cs="Times New Roman"/>
                <w:color w:val="000000"/>
                <w:sz w:val="25"/>
                <w:szCs w:val="25"/>
              </w:rPr>
              <w:t>R</w:t>
            </w:r>
            <w:r w:rsidR="00307713" w:rsidRPr="004E0DDF">
              <w:rPr>
                <w:rFonts w:ascii="Times New Roman" w:eastAsia="Times New Roman" w:hAnsi="Times New Roman" w:cs="Times New Roman"/>
                <w:color w:val="000000"/>
                <w:sz w:val="25"/>
                <w:szCs w:val="25"/>
              </w:rPr>
              <w:t xml:space="preserve">egula Nr.681/2013) </w:t>
            </w:r>
            <w:r w:rsidR="00D77A8E">
              <w:rPr>
                <w:rFonts w:ascii="Times New Roman" w:eastAsia="Times New Roman" w:hAnsi="Times New Roman" w:cs="Times New Roman"/>
                <w:color w:val="000000"/>
                <w:sz w:val="25"/>
                <w:szCs w:val="25"/>
              </w:rPr>
              <w:t>prasībām</w:t>
            </w:r>
            <w:r w:rsidR="00307713" w:rsidRPr="004E0DDF">
              <w:rPr>
                <w:rFonts w:ascii="Times New Roman" w:eastAsia="Times New Roman" w:hAnsi="Times New Roman" w:cs="Times New Roman"/>
                <w:color w:val="000000"/>
                <w:sz w:val="25"/>
                <w:szCs w:val="25"/>
              </w:rPr>
              <w:t>.</w:t>
            </w:r>
            <w:r w:rsidR="00431DD7" w:rsidRPr="004E0DDF">
              <w:rPr>
                <w:rFonts w:ascii="Times New Roman" w:eastAsia="Times New Roman" w:hAnsi="Times New Roman" w:cs="Times New Roman"/>
                <w:color w:val="000000"/>
                <w:sz w:val="25"/>
                <w:szCs w:val="25"/>
              </w:rPr>
              <w:t xml:space="preserve"> </w:t>
            </w:r>
            <w:r w:rsidR="00B95572" w:rsidRPr="004E0DDF">
              <w:rPr>
                <w:rFonts w:ascii="Times New Roman" w:eastAsia="Times New Roman" w:hAnsi="Times New Roman" w:cs="Times New Roman"/>
                <w:i/>
                <w:color w:val="000000"/>
                <w:sz w:val="25"/>
                <w:szCs w:val="25"/>
              </w:rPr>
              <w:t xml:space="preserve"> </w:t>
            </w:r>
            <w:r w:rsidR="006A0418" w:rsidRPr="004E0DDF">
              <w:rPr>
                <w:rFonts w:ascii="Times New Roman" w:eastAsia="Times New Roman" w:hAnsi="Times New Roman" w:cs="Times New Roman"/>
                <w:color w:val="000000"/>
                <w:sz w:val="25"/>
                <w:szCs w:val="25"/>
              </w:rPr>
              <w:t xml:space="preserve"> </w:t>
            </w:r>
            <w:r w:rsidRPr="004E0DDF">
              <w:rPr>
                <w:rFonts w:ascii="Times New Roman" w:eastAsia="Times New Roman" w:hAnsi="Times New Roman" w:cs="Times New Roman"/>
                <w:b/>
                <w:color w:val="000000"/>
                <w:sz w:val="25"/>
                <w:szCs w:val="25"/>
              </w:rPr>
              <w:t xml:space="preserve"> </w:t>
            </w:r>
            <w:r w:rsidR="007730EB" w:rsidRPr="004E0DDF">
              <w:rPr>
                <w:rFonts w:ascii="Times New Roman" w:hAnsi="Times New Roman" w:cs="Times New Roman"/>
                <w:sz w:val="25"/>
                <w:szCs w:val="25"/>
              </w:rPr>
              <w:t xml:space="preserve"> </w:t>
            </w:r>
          </w:p>
        </w:tc>
      </w:tr>
      <w:tr w:rsidR="007730EB" w:rsidRPr="00B6553A" w:rsidTr="00F366FD">
        <w:tc>
          <w:tcPr>
            <w:tcW w:w="244" w:type="pct"/>
          </w:tcPr>
          <w:p w:rsidR="007730EB" w:rsidRPr="004E0DDF" w:rsidRDefault="007730EB" w:rsidP="00014187">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2.</w:t>
            </w:r>
          </w:p>
        </w:tc>
        <w:tc>
          <w:tcPr>
            <w:tcW w:w="136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 xml:space="preserve">Pašreizējā situācija </w:t>
            </w:r>
            <w:r w:rsidRPr="004E0DDF">
              <w:rPr>
                <w:rFonts w:ascii="Times New Roman" w:eastAsia="Times New Roman" w:hAnsi="Times New Roman" w:cs="Times New Roman"/>
                <w:color w:val="000000"/>
                <w:sz w:val="25"/>
                <w:szCs w:val="25"/>
              </w:rPr>
              <w:t>un problēmas, kuru risināšanai tiesību akta projekts izstrādāts, tiesiskā regulējuma mērķis un būtība</w:t>
            </w:r>
          </w:p>
        </w:tc>
        <w:tc>
          <w:tcPr>
            <w:tcW w:w="3390" w:type="pct"/>
          </w:tcPr>
          <w:p w:rsidR="00B65C4A" w:rsidRPr="004E0DDF" w:rsidRDefault="00B65C4A" w:rsidP="00432A45">
            <w:pPr>
              <w:pStyle w:val="naisf"/>
              <w:spacing w:before="0" w:after="0"/>
              <w:ind w:firstLine="189"/>
              <w:rPr>
                <w:sz w:val="25"/>
                <w:szCs w:val="25"/>
              </w:rPr>
            </w:pPr>
            <w:r w:rsidRPr="004E0DDF">
              <w:rPr>
                <w:sz w:val="25"/>
                <w:szCs w:val="25"/>
              </w:rPr>
              <w:t xml:space="preserve">Noteikumos Nr.132 </w:t>
            </w:r>
            <w:r w:rsidR="00432A45" w:rsidRPr="004E0DDF">
              <w:rPr>
                <w:sz w:val="25"/>
                <w:szCs w:val="25"/>
              </w:rPr>
              <w:t>ieviestā</w:t>
            </w:r>
            <w:r w:rsidR="000C1A68" w:rsidRPr="004E0DDF">
              <w:rPr>
                <w:sz w:val="25"/>
                <w:szCs w:val="25"/>
              </w:rPr>
              <w:t xml:space="preserve">s </w:t>
            </w:r>
            <w:r w:rsidR="00432A45" w:rsidRPr="004E0DDF">
              <w:rPr>
                <w:sz w:val="25"/>
                <w:szCs w:val="25"/>
              </w:rPr>
              <w:t>normas paredzēja pilnīgu Direktīvā 2009/48/EK ietverto normu pārņemšanu.</w:t>
            </w:r>
            <w:r w:rsidRPr="004E0DDF">
              <w:rPr>
                <w:sz w:val="25"/>
                <w:szCs w:val="25"/>
              </w:rPr>
              <w:t xml:space="preserve"> </w:t>
            </w:r>
          </w:p>
          <w:p w:rsidR="00BB0026" w:rsidRDefault="00D547E7" w:rsidP="00432A45">
            <w:pPr>
              <w:pStyle w:val="naisf"/>
              <w:spacing w:before="0" w:after="0"/>
              <w:ind w:firstLine="189"/>
              <w:rPr>
                <w:sz w:val="25"/>
                <w:szCs w:val="25"/>
              </w:rPr>
            </w:pPr>
            <w:r w:rsidRPr="004E0DDF">
              <w:rPr>
                <w:sz w:val="25"/>
                <w:szCs w:val="25"/>
              </w:rPr>
              <w:t xml:space="preserve">Neskatoties uz to, ka </w:t>
            </w:r>
            <w:r w:rsidR="00090EDB" w:rsidRPr="004E0DDF">
              <w:rPr>
                <w:sz w:val="25"/>
                <w:szCs w:val="25"/>
              </w:rPr>
              <w:t>Noteikumos Nr.</w:t>
            </w:r>
            <w:r w:rsidR="009B2B1A" w:rsidRPr="004E0DDF">
              <w:rPr>
                <w:sz w:val="25"/>
                <w:szCs w:val="25"/>
              </w:rPr>
              <w:t xml:space="preserve">132 ir ietvertas Direktīvas 2009/48/EK normas, tomēr Noteikumu Nr.132 piemērošanas laikā ir konstatētas atsevišķas </w:t>
            </w:r>
            <w:r w:rsidR="000E29AB" w:rsidRPr="004E0DDF">
              <w:rPr>
                <w:sz w:val="25"/>
                <w:szCs w:val="25"/>
              </w:rPr>
              <w:t xml:space="preserve">normas, kuras būtu pilnveidojamas. Tāpēc ir izstrādāts Noteikumu projekts, kas paredz precizēt Noteikumos Nr.132 ietverto ražotāja definīciju, </w:t>
            </w:r>
            <w:r w:rsidR="009703DB" w:rsidRPr="004E0DDF">
              <w:rPr>
                <w:sz w:val="25"/>
                <w:szCs w:val="25"/>
              </w:rPr>
              <w:t>norādi, ka tehnisko dokumentāciju ražotājs sagatavo vienā no Eiropas Savienības dalībvalstu oficiālajām valodām, kā arī paredzēt tirgus uzraudzības iestādes amatpersonām tiesības noteikt termiņu tehniskās dokumentācijas un/vai tās daļu tulkojuma iesniegšanai un noteikt ražotājam iepriekš minētā noteikuma nepildīšanas gadījumā pienākumu uz sava rēķina noteiktā laikā veikt rotaļlietas pārbaudi paziņotajā institūcijā</w:t>
            </w:r>
            <w:r w:rsidR="00090EDB" w:rsidRPr="004E0DDF">
              <w:rPr>
                <w:sz w:val="25"/>
                <w:szCs w:val="25"/>
              </w:rPr>
              <w:t xml:space="preserve"> un pierādīt tās atbilstību</w:t>
            </w:r>
            <w:r w:rsidR="00D91FAF" w:rsidRPr="004E0DDF">
              <w:rPr>
                <w:sz w:val="25"/>
                <w:szCs w:val="25"/>
              </w:rPr>
              <w:t xml:space="preserve"> piemērojamiem standartiem un</w:t>
            </w:r>
            <w:r w:rsidR="00090EDB" w:rsidRPr="004E0DDF">
              <w:rPr>
                <w:sz w:val="25"/>
                <w:szCs w:val="25"/>
              </w:rPr>
              <w:t xml:space="preserve"> būtiskajām drošuma prasībām. </w:t>
            </w:r>
          </w:p>
          <w:p w:rsidR="000122DC" w:rsidRDefault="00A96536" w:rsidP="00432A45">
            <w:pPr>
              <w:pStyle w:val="naisf"/>
              <w:spacing w:before="0" w:after="0"/>
              <w:ind w:firstLine="189"/>
              <w:rPr>
                <w:sz w:val="25"/>
                <w:szCs w:val="25"/>
              </w:rPr>
            </w:pPr>
            <w:r>
              <w:rPr>
                <w:sz w:val="25"/>
                <w:szCs w:val="25"/>
              </w:rPr>
              <w:t>2014.gada 6.aprīlī spēkā stājušies Grozījumi Preču un pakalpojumu drošuma likumā, kas cita starpā paredz papildināt likumu ar 8</w:t>
            </w:r>
            <w:r>
              <w:rPr>
                <w:sz w:val="25"/>
                <w:szCs w:val="25"/>
                <w:vertAlign w:val="superscript"/>
              </w:rPr>
              <w:t>1</w:t>
            </w:r>
            <w:r>
              <w:rPr>
                <w:sz w:val="25"/>
                <w:szCs w:val="25"/>
              </w:rPr>
              <w:t>.pantu, kas nosaka, ka, j</w:t>
            </w:r>
            <w:r w:rsidRPr="00A96536">
              <w:rPr>
                <w:sz w:val="25"/>
                <w:szCs w:val="25"/>
              </w:rPr>
              <w:t xml:space="preserve">a prece vai pakalpojums var radīt nopietnu risku cilvēka dzīvībai, veselībai, videi vai īpašumam, Ministru kabinets nosaka speciālās prasības vai nepieciešamos pasākumus riska mazināšanai vai novēršanai, preču aprites vai pakalpojumu piedāvāšanas kārtību, kā arī to uzraudzības un kontroles </w:t>
            </w:r>
            <w:r w:rsidRPr="00A96536">
              <w:rPr>
                <w:sz w:val="25"/>
                <w:szCs w:val="25"/>
              </w:rPr>
              <w:lastRenderedPageBreak/>
              <w:t>kārtību.</w:t>
            </w:r>
            <w:r>
              <w:rPr>
                <w:sz w:val="25"/>
                <w:szCs w:val="25"/>
              </w:rPr>
              <w:t>”</w:t>
            </w:r>
            <w:r w:rsidR="000E7971">
              <w:rPr>
                <w:sz w:val="25"/>
                <w:szCs w:val="25"/>
              </w:rPr>
              <w:t xml:space="preserve"> Ņemot vērā, ka </w:t>
            </w:r>
            <w:r w:rsidR="000122DC" w:rsidRPr="000122DC">
              <w:rPr>
                <w:sz w:val="25"/>
                <w:szCs w:val="25"/>
              </w:rPr>
              <w:t>Preču un pakalpojumu drošuma</w:t>
            </w:r>
            <w:r w:rsidR="000122DC">
              <w:rPr>
                <w:sz w:val="25"/>
                <w:szCs w:val="25"/>
              </w:rPr>
              <w:t xml:space="preserve"> likums nosaka</w:t>
            </w:r>
            <w:r w:rsidR="000122DC" w:rsidRPr="000122DC">
              <w:rPr>
                <w:sz w:val="25"/>
                <w:szCs w:val="25"/>
              </w:rPr>
              <w:t xml:space="preserve"> </w:t>
            </w:r>
            <w:r w:rsidR="000122DC">
              <w:rPr>
                <w:sz w:val="25"/>
                <w:szCs w:val="25"/>
              </w:rPr>
              <w:t>tirgus uzraudzības un kontroles kārtību, kā arī tirgus uzraudzības iestāžu savstarpējo sadarbību, lai nodrošinātu drošu ražojumu esamību tirgū, nepieciešams</w:t>
            </w:r>
            <w:r w:rsidR="006672EE">
              <w:rPr>
                <w:sz w:val="25"/>
                <w:szCs w:val="25"/>
              </w:rPr>
              <w:t xml:space="preserve"> veikt sistēmas sakārtošanu un</w:t>
            </w:r>
            <w:r w:rsidR="000122DC">
              <w:rPr>
                <w:sz w:val="25"/>
                <w:szCs w:val="25"/>
              </w:rPr>
              <w:t xml:space="preserve">   </w:t>
            </w:r>
            <w:r>
              <w:rPr>
                <w:sz w:val="25"/>
                <w:szCs w:val="25"/>
              </w:rPr>
              <w:t>papildināt Noteikumu Nr.132 izdošanas tiesisko pamatu ar atsauci uz Preču un pakalpojumu drošuma likuma 8.</w:t>
            </w:r>
            <w:r>
              <w:rPr>
                <w:sz w:val="25"/>
                <w:szCs w:val="25"/>
                <w:vertAlign w:val="superscript"/>
              </w:rPr>
              <w:t>1</w:t>
            </w:r>
            <w:r w:rsidR="000122DC">
              <w:rPr>
                <w:sz w:val="25"/>
                <w:szCs w:val="25"/>
              </w:rPr>
              <w:t xml:space="preserve"> pantu. </w:t>
            </w:r>
            <w:r w:rsidR="00107261">
              <w:rPr>
                <w:sz w:val="25"/>
                <w:szCs w:val="25"/>
              </w:rPr>
              <w:t>Atsauce uz Preču un pakalpojumu drošuma likuma 8</w:t>
            </w:r>
            <w:r w:rsidR="00107261">
              <w:rPr>
                <w:sz w:val="25"/>
                <w:szCs w:val="25"/>
                <w:vertAlign w:val="superscript"/>
              </w:rPr>
              <w:t>1</w:t>
            </w:r>
            <w:r w:rsidR="00107261">
              <w:rPr>
                <w:sz w:val="25"/>
                <w:szCs w:val="25"/>
              </w:rPr>
              <w:t xml:space="preserve">.pantu pantu nepieciešama arī tāpēc, ka lēmumi, ko  uzraudzības iestāde ir tiesīga </w:t>
            </w:r>
            <w:r w:rsidR="00107261" w:rsidRPr="00107261">
              <w:rPr>
                <w:sz w:val="25"/>
                <w:szCs w:val="25"/>
              </w:rPr>
              <w:t>pieņemt</w:t>
            </w:r>
            <w:r w:rsidR="00107261">
              <w:rPr>
                <w:sz w:val="25"/>
                <w:szCs w:val="25"/>
              </w:rPr>
              <w:t>, ja ekonomiskais operators atsakās veikt korektīvās darbības, lai novērstu ražojumu neatbilstību prasībām (Noteikumu Nr.132 76., 77. un 83.punkti)  izriet no Preču un pakalpojumu drošuma likuma.</w:t>
            </w:r>
          </w:p>
          <w:p w:rsidR="00C6208E" w:rsidRPr="00A96536" w:rsidRDefault="00C6208E" w:rsidP="00432A45">
            <w:pPr>
              <w:pStyle w:val="naisf"/>
              <w:spacing w:before="0" w:after="0"/>
              <w:ind w:firstLine="189"/>
              <w:rPr>
                <w:sz w:val="25"/>
                <w:szCs w:val="25"/>
              </w:rPr>
            </w:pPr>
            <w:r>
              <w:rPr>
                <w:sz w:val="25"/>
                <w:szCs w:val="25"/>
              </w:rPr>
              <w:t>Papildus jau minētajam</w:t>
            </w:r>
            <w:r w:rsidR="004A6258">
              <w:rPr>
                <w:sz w:val="25"/>
                <w:szCs w:val="25"/>
              </w:rPr>
              <w:t>,</w:t>
            </w:r>
            <w:r>
              <w:rPr>
                <w:sz w:val="25"/>
                <w:szCs w:val="25"/>
              </w:rPr>
              <w:t xml:space="preserve"> Noteikumu Nr.132 12.6., 12.10., 12.12., 14.3., 18.5., 16.3., 16.8., 16.10., 18.2., 18.4.apakšpunktos termins apdraudējums aizstāts ar terminu risks</w:t>
            </w:r>
            <w:r w:rsidR="004A6258">
              <w:rPr>
                <w:sz w:val="25"/>
                <w:szCs w:val="25"/>
              </w:rPr>
              <w:t>, saskaņā ar</w:t>
            </w:r>
            <w:r>
              <w:rPr>
                <w:sz w:val="25"/>
                <w:szCs w:val="25"/>
              </w:rPr>
              <w:t xml:space="preserve"> </w:t>
            </w:r>
            <w:r w:rsidR="004A6258" w:rsidRPr="004E0DDF">
              <w:rPr>
                <w:sz w:val="25"/>
                <w:szCs w:val="25"/>
              </w:rPr>
              <w:t>Direktīv</w:t>
            </w:r>
            <w:r w:rsidR="004A6258">
              <w:rPr>
                <w:sz w:val="25"/>
                <w:szCs w:val="25"/>
              </w:rPr>
              <w:t>as</w:t>
            </w:r>
            <w:r w:rsidR="004A6258" w:rsidRPr="004E0DDF">
              <w:rPr>
                <w:sz w:val="25"/>
                <w:szCs w:val="25"/>
              </w:rPr>
              <w:t xml:space="preserve"> 2009/48/EK</w:t>
            </w:r>
            <w:r w:rsidR="004A6258">
              <w:rPr>
                <w:sz w:val="25"/>
                <w:szCs w:val="25"/>
              </w:rPr>
              <w:t xml:space="preserve"> anglisko versiju. Minētais precizējums nepieciešams, jo </w:t>
            </w:r>
            <w:r w:rsidR="004A6258" w:rsidRPr="004E0DDF">
              <w:rPr>
                <w:sz w:val="25"/>
                <w:szCs w:val="25"/>
              </w:rPr>
              <w:t>Direktīv</w:t>
            </w:r>
            <w:r w:rsidR="004A6258">
              <w:rPr>
                <w:sz w:val="25"/>
                <w:szCs w:val="25"/>
              </w:rPr>
              <w:t>as</w:t>
            </w:r>
            <w:r w:rsidR="004A6258" w:rsidRPr="004E0DDF">
              <w:rPr>
                <w:sz w:val="25"/>
                <w:szCs w:val="25"/>
              </w:rPr>
              <w:t xml:space="preserve"> 2009/48/EK</w:t>
            </w:r>
            <w:r w:rsidR="004A6258">
              <w:rPr>
                <w:sz w:val="25"/>
                <w:szCs w:val="25"/>
              </w:rPr>
              <w:t xml:space="preserve"> latviešu valodā tulkotajā tekstā kļūdaini veikts termina risks tulkojums. </w:t>
            </w:r>
            <w:r w:rsidR="004A6258" w:rsidRPr="004E0DDF">
              <w:rPr>
                <w:sz w:val="25"/>
                <w:szCs w:val="25"/>
              </w:rPr>
              <w:t>Direktīv</w:t>
            </w:r>
            <w:r w:rsidR="004A6258">
              <w:rPr>
                <w:sz w:val="25"/>
                <w:szCs w:val="25"/>
              </w:rPr>
              <w:t>a</w:t>
            </w:r>
            <w:r w:rsidR="004A6258" w:rsidRPr="004E0DDF">
              <w:rPr>
                <w:sz w:val="25"/>
                <w:szCs w:val="25"/>
              </w:rPr>
              <w:t xml:space="preserve"> 2009/48/EK</w:t>
            </w:r>
            <w:r w:rsidR="004A6258">
              <w:rPr>
                <w:sz w:val="25"/>
                <w:szCs w:val="25"/>
              </w:rPr>
              <w:t xml:space="preserve"> izdala apdraudējumu un risku kā divus dažādus terminus, risku skaidrojot kā apdraudējuma iespējamību, savukārt apdraudējumu kā kaitējuma iespējamo iemeslu (</w:t>
            </w:r>
            <w:r w:rsidR="004A6258" w:rsidRPr="004E0DDF">
              <w:rPr>
                <w:sz w:val="25"/>
                <w:szCs w:val="25"/>
              </w:rPr>
              <w:t>Direktīv</w:t>
            </w:r>
            <w:r w:rsidR="004A6258">
              <w:rPr>
                <w:sz w:val="25"/>
                <w:szCs w:val="25"/>
              </w:rPr>
              <w:t>as</w:t>
            </w:r>
            <w:r w:rsidR="004A6258" w:rsidRPr="004E0DDF">
              <w:rPr>
                <w:sz w:val="25"/>
                <w:szCs w:val="25"/>
              </w:rPr>
              <w:t xml:space="preserve"> 2009/48/EK</w:t>
            </w:r>
            <w:r w:rsidR="004A6258">
              <w:rPr>
                <w:sz w:val="25"/>
                <w:szCs w:val="25"/>
              </w:rPr>
              <w:t xml:space="preserve"> 3.panta 27.un 28.punts). </w:t>
            </w:r>
          </w:p>
          <w:p w:rsidR="00816920" w:rsidRPr="004E0DDF" w:rsidRDefault="00816920" w:rsidP="00F366FD">
            <w:pPr>
              <w:pStyle w:val="naisf"/>
              <w:spacing w:before="0" w:after="0"/>
              <w:ind w:firstLine="189"/>
              <w:rPr>
                <w:sz w:val="25"/>
                <w:szCs w:val="25"/>
              </w:rPr>
            </w:pPr>
            <w:r w:rsidRPr="004E0DDF">
              <w:rPr>
                <w:sz w:val="25"/>
                <w:szCs w:val="25"/>
              </w:rPr>
              <w:t xml:space="preserve">2013.gada 20.jūlijā </w:t>
            </w:r>
            <w:r w:rsidR="00FC1943" w:rsidRPr="004E0DDF">
              <w:rPr>
                <w:sz w:val="25"/>
                <w:szCs w:val="25"/>
              </w:rPr>
              <w:t xml:space="preserve">ir stājusies spēkā </w:t>
            </w:r>
            <w:r w:rsidR="005B08C9" w:rsidRPr="004E0DDF">
              <w:rPr>
                <w:sz w:val="25"/>
                <w:szCs w:val="25"/>
              </w:rPr>
              <w:t>R</w:t>
            </w:r>
            <w:r w:rsidRPr="004E0DDF">
              <w:rPr>
                <w:sz w:val="25"/>
                <w:szCs w:val="25"/>
              </w:rPr>
              <w:t>egula Nr.681/2013</w:t>
            </w:r>
            <w:r w:rsidR="00FC1943" w:rsidRPr="004E0DDF">
              <w:rPr>
                <w:sz w:val="25"/>
                <w:szCs w:val="25"/>
              </w:rPr>
              <w:t xml:space="preserve">, kas tika izstrādāta, lai pilnveidotu </w:t>
            </w:r>
            <w:r w:rsidR="005B08C9" w:rsidRPr="004E0DDF">
              <w:rPr>
                <w:sz w:val="25"/>
                <w:szCs w:val="25"/>
              </w:rPr>
              <w:t>D</w:t>
            </w:r>
            <w:r w:rsidR="00FC1943" w:rsidRPr="004E0DDF">
              <w:rPr>
                <w:sz w:val="25"/>
                <w:szCs w:val="25"/>
              </w:rPr>
              <w:t xml:space="preserve">irektīvā 2009/48/EK </w:t>
            </w:r>
            <w:r w:rsidR="00B245D9" w:rsidRPr="004E0DDF">
              <w:rPr>
                <w:sz w:val="25"/>
                <w:szCs w:val="25"/>
              </w:rPr>
              <w:t>noteikto regulējumu par rotaļlietu ķīmiskajām īpašībām, II pielikuma III daļu.</w:t>
            </w:r>
          </w:p>
          <w:p w:rsidR="00B245D9" w:rsidRPr="004E0DDF" w:rsidRDefault="00EC550C" w:rsidP="00F366FD">
            <w:pPr>
              <w:pStyle w:val="naisf"/>
              <w:spacing w:before="0" w:after="0"/>
              <w:ind w:firstLine="189"/>
              <w:rPr>
                <w:sz w:val="25"/>
                <w:szCs w:val="25"/>
              </w:rPr>
            </w:pPr>
            <w:r w:rsidRPr="004E0DDF">
              <w:rPr>
                <w:sz w:val="25"/>
                <w:szCs w:val="25"/>
              </w:rPr>
              <w:t xml:space="preserve">Direktīvas 2009/48/EK normas ir iekļautas Noteikumos Nr.132, kas </w:t>
            </w:r>
            <w:r w:rsidR="000B5736">
              <w:rPr>
                <w:sz w:val="25"/>
                <w:szCs w:val="25"/>
              </w:rPr>
              <w:t>pašreizējā redakcijā nodrošina D</w:t>
            </w:r>
            <w:r w:rsidRPr="004E0DDF">
              <w:rPr>
                <w:sz w:val="25"/>
                <w:szCs w:val="25"/>
              </w:rPr>
              <w:t>irektīvas 2009/48/EK prasību izpildi – noteikt ķīmisko vielu prasības bārija robežvērtībām.</w:t>
            </w:r>
          </w:p>
          <w:p w:rsidR="00E7180E" w:rsidRPr="004E0DDF" w:rsidRDefault="00FA249B" w:rsidP="00F366FD">
            <w:pPr>
              <w:pStyle w:val="naisf"/>
              <w:spacing w:before="0" w:after="0"/>
              <w:ind w:firstLine="189"/>
              <w:rPr>
                <w:sz w:val="25"/>
                <w:szCs w:val="25"/>
              </w:rPr>
            </w:pPr>
            <w:r w:rsidRPr="004E0DDF">
              <w:rPr>
                <w:sz w:val="25"/>
                <w:szCs w:val="25"/>
              </w:rPr>
              <w:t xml:space="preserve">Veselības un vides apdraudējuma zinātniskā komiteja (SCHER) </w:t>
            </w:r>
            <w:r w:rsidR="002A6C2C" w:rsidRPr="004E0DDF">
              <w:rPr>
                <w:sz w:val="25"/>
                <w:szCs w:val="25"/>
              </w:rPr>
              <w:t xml:space="preserve">veica papildu novērtējumu migrācijas robežvērtībām bārijam, nosakot, ka bārija pieļaujamai dienas devai jābūt 0,2 mg/kg uz ķermeņa svara dienā. </w:t>
            </w:r>
            <w:r w:rsidR="002515A8" w:rsidRPr="004E0DDF">
              <w:rPr>
                <w:sz w:val="25"/>
                <w:szCs w:val="25"/>
              </w:rPr>
              <w:t xml:space="preserve">Šajā vērtībā ir ņemta vērā bārija uzsūkšanās spēja kuņģī un zarnu traktā. Saskaņā ar SCHER aplēsēm bērniem vecumā no 1 līdz 15 gadiem </w:t>
            </w:r>
            <w:r w:rsidR="00DB41C6" w:rsidRPr="004E0DDF">
              <w:rPr>
                <w:sz w:val="25"/>
                <w:szCs w:val="25"/>
              </w:rPr>
              <w:t>kuņģa un zarnu trakta uzsūkšanas spēja ir 30%, savukārt zīdaiņiem – 60%.</w:t>
            </w:r>
            <w:r w:rsidR="000F3039" w:rsidRPr="004E0DDF">
              <w:rPr>
                <w:sz w:val="25"/>
                <w:szCs w:val="25"/>
              </w:rPr>
              <w:t xml:space="preserve"> Tomēr SCHER pieļaujamo dienas devu bārijam pamato uz pieņēmumu par „sliktāko scenāriju”, saskaņā ar kuru bērni 100% absorbē bāriju, ar kuru tie nonāk saskarē.</w:t>
            </w:r>
            <w:r w:rsidR="003E4086" w:rsidRPr="004E0DDF">
              <w:rPr>
                <w:sz w:val="25"/>
                <w:szCs w:val="25"/>
              </w:rPr>
              <w:t xml:space="preserve"> Piemērojot jauno pieļaujamo dienas devu 10% apmērā, ko reizina ar bērna svaru un dala ar uzņemtā rotaļlietas materiāla daudzumu, iegūst šādas bārija robežvērtības: 18750 mg/kg noskrāpēta materiāla, 1500 mg/kg sausa materiāla un 375 mg/kg šķidra materiāla.</w:t>
            </w:r>
          </w:p>
          <w:p w:rsidR="007730EB" w:rsidRPr="004E0DDF" w:rsidRDefault="00E7180E" w:rsidP="00740F06">
            <w:pPr>
              <w:pStyle w:val="naisf"/>
              <w:spacing w:before="0" w:after="0"/>
              <w:ind w:firstLine="189"/>
              <w:rPr>
                <w:sz w:val="25"/>
                <w:szCs w:val="25"/>
              </w:rPr>
            </w:pPr>
            <w:r w:rsidRPr="004E0DDF">
              <w:rPr>
                <w:sz w:val="25"/>
                <w:szCs w:val="25"/>
              </w:rPr>
              <w:t xml:space="preserve">Ņemot vērā </w:t>
            </w:r>
            <w:r w:rsidR="00DF1551" w:rsidRPr="004E0DDF">
              <w:rPr>
                <w:sz w:val="25"/>
                <w:szCs w:val="25"/>
              </w:rPr>
              <w:t xml:space="preserve">SCHER noteikto jauno pieļaujamo bārija </w:t>
            </w:r>
            <w:r w:rsidR="00DF1551" w:rsidRPr="004E0DDF">
              <w:rPr>
                <w:sz w:val="25"/>
                <w:szCs w:val="25"/>
              </w:rPr>
              <w:lastRenderedPageBreak/>
              <w:t xml:space="preserve">dienas devu un iegūtās robežvērtības, </w:t>
            </w:r>
            <w:r w:rsidR="000B5736">
              <w:rPr>
                <w:sz w:val="25"/>
                <w:szCs w:val="25"/>
              </w:rPr>
              <w:t xml:space="preserve">uzlabojot regulējumu atbilstoši Regulā </w:t>
            </w:r>
            <w:r w:rsidR="00DF1551" w:rsidRPr="004E0DDF">
              <w:rPr>
                <w:sz w:val="25"/>
                <w:szCs w:val="25"/>
              </w:rPr>
              <w:t xml:space="preserve">Nr.681/2013 </w:t>
            </w:r>
            <w:r w:rsidR="000B5736">
              <w:rPr>
                <w:sz w:val="25"/>
                <w:szCs w:val="25"/>
              </w:rPr>
              <w:t>noteiktaj</w:t>
            </w:r>
            <w:r w:rsidR="00740F06">
              <w:rPr>
                <w:sz w:val="25"/>
                <w:szCs w:val="25"/>
              </w:rPr>
              <w:t>am</w:t>
            </w:r>
            <w:r w:rsidR="00DF1551" w:rsidRPr="004E0DDF">
              <w:rPr>
                <w:sz w:val="25"/>
                <w:szCs w:val="25"/>
              </w:rPr>
              <w:t>, ir izstrādāts Noteikumu projekts, aizstājot Noteikumu Nr.132 2.pielikuma III nodaļas 15.punkta tabulas ierakstu par bārija robežvērtīb</w:t>
            </w:r>
            <w:r w:rsidR="00B90701" w:rsidRPr="004E0DDF">
              <w:rPr>
                <w:sz w:val="25"/>
                <w:szCs w:val="25"/>
              </w:rPr>
              <w:t xml:space="preserve">ām, </w:t>
            </w:r>
            <w:r w:rsidR="004A677C" w:rsidRPr="004E0DDF">
              <w:rPr>
                <w:sz w:val="25"/>
                <w:szCs w:val="25"/>
              </w:rPr>
              <w:t xml:space="preserve">tādējādi </w:t>
            </w:r>
            <w:r w:rsidR="003E2B57" w:rsidRPr="004E0DDF">
              <w:rPr>
                <w:sz w:val="25"/>
                <w:szCs w:val="25"/>
              </w:rPr>
              <w:t>paredzot pēc iespējas labāk aizsargāt cilvēku, un jo īpaši bērnu, veselību un dzīvību.</w:t>
            </w:r>
            <w:r w:rsidR="003E4086" w:rsidRPr="004E0DDF">
              <w:rPr>
                <w:sz w:val="25"/>
                <w:szCs w:val="25"/>
              </w:rPr>
              <w:t xml:space="preserve"> </w:t>
            </w:r>
            <w:r w:rsidR="002A6C2C" w:rsidRPr="004E0DDF">
              <w:rPr>
                <w:sz w:val="25"/>
                <w:szCs w:val="25"/>
              </w:rPr>
              <w:t xml:space="preserve"> </w:t>
            </w:r>
          </w:p>
        </w:tc>
      </w:tr>
      <w:tr w:rsidR="007730EB" w:rsidRPr="00B6553A" w:rsidTr="00F366FD">
        <w:tc>
          <w:tcPr>
            <w:tcW w:w="244" w:type="pct"/>
          </w:tcPr>
          <w:p w:rsidR="007730EB" w:rsidRPr="004E0DDF" w:rsidRDefault="007730EB" w:rsidP="00014187">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lastRenderedPageBreak/>
              <w:t>3.</w:t>
            </w:r>
          </w:p>
        </w:tc>
        <w:tc>
          <w:tcPr>
            <w:tcW w:w="136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Projekta izstrādē iesaistītās institūcijas</w:t>
            </w:r>
          </w:p>
        </w:tc>
        <w:tc>
          <w:tcPr>
            <w:tcW w:w="3390" w:type="pct"/>
          </w:tcPr>
          <w:p w:rsidR="007730EB" w:rsidRPr="004E0DDF" w:rsidRDefault="00DA6935" w:rsidP="00F366FD">
            <w:pPr>
              <w:spacing w:after="0" w:line="240" w:lineRule="auto"/>
              <w:jc w:val="both"/>
              <w:rPr>
                <w:rFonts w:ascii="Times New Roman" w:eastAsia="Times New Roman" w:hAnsi="Times New Roman" w:cs="Times New Roman"/>
                <w:color w:val="000000"/>
                <w:sz w:val="25"/>
                <w:szCs w:val="25"/>
                <w:highlight w:val="yellow"/>
                <w:lang w:eastAsia="lv-LV"/>
              </w:rPr>
            </w:pPr>
            <w:r w:rsidRPr="004E0DDF">
              <w:rPr>
                <w:rFonts w:ascii="Times New Roman" w:eastAsia="Times New Roman" w:hAnsi="Times New Roman" w:cs="Times New Roman"/>
                <w:color w:val="000000"/>
                <w:sz w:val="25"/>
                <w:szCs w:val="25"/>
              </w:rPr>
              <w:t>Patērētāju tiesību aizsardzības centrs.</w:t>
            </w:r>
            <w:r w:rsidR="007730EB" w:rsidRPr="004E0DDF">
              <w:rPr>
                <w:rFonts w:ascii="Times New Roman" w:eastAsia="Times New Roman" w:hAnsi="Times New Roman" w:cs="Times New Roman"/>
                <w:color w:val="000000"/>
                <w:sz w:val="25"/>
                <w:szCs w:val="25"/>
              </w:rPr>
              <w:t xml:space="preserve"> </w:t>
            </w:r>
          </w:p>
        </w:tc>
      </w:tr>
      <w:tr w:rsidR="007730EB" w:rsidRPr="00B6553A" w:rsidTr="00F366FD">
        <w:tc>
          <w:tcPr>
            <w:tcW w:w="244" w:type="pct"/>
          </w:tcPr>
          <w:p w:rsidR="007730EB" w:rsidRPr="004E0DDF" w:rsidRDefault="007730EB" w:rsidP="00014187">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4.</w:t>
            </w:r>
          </w:p>
        </w:tc>
        <w:tc>
          <w:tcPr>
            <w:tcW w:w="136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Cita informācija</w:t>
            </w:r>
          </w:p>
        </w:tc>
        <w:tc>
          <w:tcPr>
            <w:tcW w:w="3390"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Nav.</w:t>
            </w:r>
          </w:p>
        </w:tc>
      </w:tr>
    </w:tbl>
    <w:p w:rsidR="007730EB" w:rsidRPr="00B6553A" w:rsidRDefault="007730EB" w:rsidP="00F366FD">
      <w:pPr>
        <w:spacing w:after="0" w:line="240" w:lineRule="auto"/>
        <w:rPr>
          <w:rFonts w:ascii="Times New Roman" w:eastAsia="Times New Roman" w:hAnsi="Times New Roman" w:cs="Times New Roman"/>
          <w:color w:val="000000"/>
          <w:sz w:val="24"/>
          <w:szCs w:val="24"/>
        </w:rPr>
      </w:pPr>
    </w:p>
    <w:tbl>
      <w:tblPr>
        <w:tblW w:w="5033"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37"/>
        <w:gridCol w:w="2430"/>
        <w:gridCol w:w="6235"/>
      </w:tblGrid>
      <w:tr w:rsidR="007730EB" w:rsidRPr="00B6553A" w:rsidTr="00F366FD">
        <w:tc>
          <w:tcPr>
            <w:tcW w:w="5000" w:type="pct"/>
            <w:gridSpan w:val="3"/>
            <w:tcBorders>
              <w:top w:val="outset" w:sz="6" w:space="0" w:color="auto"/>
              <w:left w:val="outset" w:sz="6" w:space="0" w:color="auto"/>
              <w:bottom w:val="outset" w:sz="6" w:space="0" w:color="auto"/>
              <w:right w:val="outset" w:sz="6" w:space="0" w:color="auto"/>
            </w:tcBorders>
          </w:tcPr>
          <w:p w:rsidR="007730EB" w:rsidRPr="00B6553A" w:rsidRDefault="007730EB" w:rsidP="00F366FD">
            <w:pPr>
              <w:spacing w:after="0" w:line="240" w:lineRule="auto"/>
              <w:jc w:val="center"/>
              <w:rPr>
                <w:rFonts w:ascii="Times New Roman" w:eastAsia="Times New Roman" w:hAnsi="Times New Roman" w:cs="Times New Roman"/>
                <w:b/>
                <w:color w:val="000000"/>
                <w:sz w:val="28"/>
                <w:szCs w:val="28"/>
              </w:rPr>
            </w:pPr>
            <w:r w:rsidRPr="00981A57">
              <w:rPr>
                <w:rFonts w:ascii="Times New Roman" w:eastAsia="Times New Roman" w:hAnsi="Times New Roman" w:cs="Times New Roman"/>
                <w:b/>
                <w:color w:val="000000"/>
                <w:sz w:val="28"/>
                <w:szCs w:val="28"/>
              </w:rPr>
              <w:t>II. Tiesību akta projekta ietekme uz sabiedrību,</w:t>
            </w:r>
            <w:r w:rsidRPr="00981A57">
              <w:rPr>
                <w:rFonts w:ascii="Times New Roman" w:eastAsia="Times New Roman" w:hAnsi="Times New Roman" w:cs="Times New Roman"/>
                <w:b/>
                <w:bCs/>
                <w:color w:val="000000"/>
                <w:sz w:val="28"/>
                <w:szCs w:val="28"/>
              </w:rPr>
              <w:t xml:space="preserve"> tautsaimniecības attīstību un administratīvo slogu</w:t>
            </w:r>
          </w:p>
        </w:tc>
      </w:tr>
      <w:tr w:rsidR="007730EB" w:rsidRPr="00B6553A" w:rsidTr="00F366FD">
        <w:tc>
          <w:tcPr>
            <w:tcW w:w="240" w:type="pct"/>
            <w:tcBorders>
              <w:top w:val="outset" w:sz="6" w:space="0" w:color="auto"/>
              <w:left w:val="outset" w:sz="6" w:space="0" w:color="auto"/>
              <w:right w:val="outset" w:sz="6" w:space="0" w:color="auto"/>
            </w:tcBorders>
          </w:tcPr>
          <w:p w:rsidR="007730EB" w:rsidRPr="004E0DDF" w:rsidRDefault="007730EB" w:rsidP="00014187">
            <w:pPr>
              <w:spacing w:after="0" w:line="240" w:lineRule="auto"/>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1.</w:t>
            </w:r>
          </w:p>
        </w:tc>
        <w:tc>
          <w:tcPr>
            <w:tcW w:w="1335" w:type="pct"/>
            <w:tcBorders>
              <w:top w:val="outset" w:sz="6" w:space="0" w:color="auto"/>
              <w:left w:val="outset" w:sz="6" w:space="0" w:color="auto"/>
              <w:right w:val="outset" w:sz="6" w:space="0" w:color="auto"/>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Sabiedrības mērķgrupas, kuras tiesiskais regulējums ietekmē vai varētu ietekmēt</w:t>
            </w:r>
          </w:p>
        </w:tc>
        <w:tc>
          <w:tcPr>
            <w:tcW w:w="3425" w:type="pct"/>
            <w:tcBorders>
              <w:top w:val="outset" w:sz="6" w:space="0" w:color="auto"/>
              <w:left w:val="outset" w:sz="6" w:space="0" w:color="auto"/>
              <w:right w:val="outset" w:sz="6" w:space="0" w:color="auto"/>
            </w:tcBorders>
          </w:tcPr>
          <w:p w:rsidR="007730EB" w:rsidRPr="004E0DDF" w:rsidRDefault="007730EB" w:rsidP="00F366FD">
            <w:pPr>
              <w:spacing w:after="0" w:line="240" w:lineRule="auto"/>
              <w:jc w:val="both"/>
              <w:rPr>
                <w:rFonts w:ascii="Times New Roman" w:hAnsi="Times New Roman" w:cs="Times New Roman"/>
                <w:sz w:val="25"/>
                <w:szCs w:val="25"/>
              </w:rPr>
            </w:pPr>
            <w:r w:rsidRPr="004E0DDF">
              <w:rPr>
                <w:rFonts w:ascii="Times New Roman" w:eastAsia="Times New Roman" w:hAnsi="Times New Roman" w:cs="Times New Roman"/>
                <w:color w:val="000000"/>
                <w:sz w:val="25"/>
                <w:szCs w:val="25"/>
                <w:lang w:eastAsia="lv-LV"/>
              </w:rPr>
              <w:t xml:space="preserve">   </w:t>
            </w:r>
            <w:r w:rsidR="00420786" w:rsidRPr="004E0DDF">
              <w:rPr>
                <w:rFonts w:ascii="Times New Roman" w:hAnsi="Times New Roman" w:cs="Times New Roman"/>
                <w:sz w:val="25"/>
                <w:szCs w:val="25"/>
              </w:rPr>
              <w:t>Patērētāji – bērni un viņu pieskatītāji (</w:t>
            </w:r>
            <w:r w:rsidR="00E009A5" w:rsidRPr="004E0DDF">
              <w:rPr>
                <w:rFonts w:ascii="Times New Roman" w:hAnsi="Times New Roman" w:cs="Times New Roman"/>
                <w:sz w:val="25"/>
                <w:szCs w:val="25"/>
              </w:rPr>
              <w:t xml:space="preserve">saskaņā ar Centrālās statistikas pārvaldes datu bāzē esošo informāciju, 2013.gadā </w:t>
            </w:r>
            <w:r w:rsidR="00DE6720" w:rsidRPr="004E0DDF">
              <w:rPr>
                <w:rFonts w:ascii="Times New Roman" w:hAnsi="Times New Roman" w:cs="Times New Roman"/>
                <w:sz w:val="25"/>
                <w:szCs w:val="25"/>
              </w:rPr>
              <w:t>– 292,316</w:t>
            </w:r>
            <w:r w:rsidR="00E009A5" w:rsidRPr="004E0DDF">
              <w:rPr>
                <w:rFonts w:ascii="Times New Roman" w:hAnsi="Times New Roman" w:cs="Times New Roman"/>
                <w:sz w:val="25"/>
                <w:szCs w:val="25"/>
              </w:rPr>
              <w:t xml:space="preserve"> tūkstoši bērnu vecumā līdz 14 gadiem, ~ 2 </w:t>
            </w:r>
            <w:r w:rsidR="00420786" w:rsidRPr="004E0DDF">
              <w:rPr>
                <w:rFonts w:ascii="Times New Roman" w:hAnsi="Times New Roman" w:cs="Times New Roman"/>
                <w:sz w:val="25"/>
                <w:szCs w:val="25"/>
              </w:rPr>
              <w:t>miljoni Latvijas iedzīvotāju, kā arī, ņemot vērā direktīvas 2009/48/EK</w:t>
            </w:r>
            <w:r w:rsidR="00420786" w:rsidRPr="004E0DDF" w:rsidDel="006719FA">
              <w:rPr>
                <w:rFonts w:ascii="Times New Roman" w:hAnsi="Times New Roman" w:cs="Times New Roman"/>
                <w:sz w:val="25"/>
                <w:szCs w:val="25"/>
              </w:rPr>
              <w:t xml:space="preserve"> </w:t>
            </w:r>
            <w:r w:rsidR="00E009A5" w:rsidRPr="004E0DDF">
              <w:rPr>
                <w:rFonts w:ascii="Times New Roman" w:hAnsi="Times New Roman" w:cs="Times New Roman"/>
                <w:sz w:val="25"/>
                <w:szCs w:val="25"/>
              </w:rPr>
              <w:t xml:space="preserve"> un </w:t>
            </w:r>
            <w:r w:rsidR="00E009A5" w:rsidRPr="004E0DDF">
              <w:rPr>
                <w:rFonts w:ascii="Times New Roman" w:eastAsia="Times New Roman" w:hAnsi="Times New Roman" w:cs="Times New Roman"/>
                <w:color w:val="000000"/>
                <w:sz w:val="25"/>
                <w:szCs w:val="25"/>
              </w:rPr>
              <w:t xml:space="preserve">Regulas Nr.681/2013 </w:t>
            </w:r>
            <w:r w:rsidR="00420786" w:rsidRPr="004E0DDF">
              <w:rPr>
                <w:rFonts w:ascii="Times New Roman" w:hAnsi="Times New Roman" w:cs="Times New Roman"/>
                <w:sz w:val="25"/>
                <w:szCs w:val="25"/>
              </w:rPr>
              <w:t xml:space="preserve">mērķi – nodrošināt augstu rotaļlietu drošuma līmeni nolūkā aizsargāt bērnu veselību un drošību, nosakot saskaņotas rotaļlietu drošuma prasības </w:t>
            </w:r>
            <w:r w:rsidR="00E009A5" w:rsidRPr="004E0DDF">
              <w:rPr>
                <w:rFonts w:ascii="Times New Roman" w:hAnsi="Times New Roman" w:cs="Times New Roman"/>
                <w:sz w:val="25"/>
                <w:szCs w:val="25"/>
              </w:rPr>
              <w:t>iekšējā tirgū</w:t>
            </w:r>
            <w:r w:rsidR="00420786" w:rsidRPr="004E0DDF">
              <w:rPr>
                <w:rFonts w:ascii="Times New Roman" w:hAnsi="Times New Roman" w:cs="Times New Roman"/>
                <w:sz w:val="25"/>
                <w:szCs w:val="25"/>
              </w:rPr>
              <w:t xml:space="preserve"> – </w:t>
            </w:r>
            <w:r w:rsidR="00662523">
              <w:rPr>
                <w:rFonts w:ascii="Times New Roman" w:hAnsi="Times New Roman" w:cs="Times New Roman"/>
                <w:sz w:val="25"/>
                <w:szCs w:val="25"/>
              </w:rPr>
              <w:t xml:space="preserve">normatīvā regulējuma pielāgošana </w:t>
            </w:r>
            <w:r w:rsidR="00E009A5" w:rsidRPr="005D213D">
              <w:rPr>
                <w:rFonts w:ascii="Times New Roman" w:eastAsia="Times New Roman" w:hAnsi="Times New Roman" w:cs="Times New Roman"/>
                <w:color w:val="000000"/>
                <w:sz w:val="25"/>
                <w:szCs w:val="25"/>
              </w:rPr>
              <w:t>Regul</w:t>
            </w:r>
            <w:r w:rsidR="00662523" w:rsidRPr="005D213D">
              <w:rPr>
                <w:rFonts w:ascii="Times New Roman" w:eastAsia="Times New Roman" w:hAnsi="Times New Roman" w:cs="Times New Roman"/>
                <w:color w:val="000000"/>
                <w:sz w:val="25"/>
                <w:szCs w:val="25"/>
              </w:rPr>
              <w:t>ā</w:t>
            </w:r>
            <w:r w:rsidR="00E009A5" w:rsidRPr="005D213D">
              <w:rPr>
                <w:rFonts w:ascii="Times New Roman" w:eastAsia="Times New Roman" w:hAnsi="Times New Roman" w:cs="Times New Roman"/>
                <w:color w:val="000000"/>
                <w:sz w:val="25"/>
                <w:szCs w:val="25"/>
              </w:rPr>
              <w:t xml:space="preserve"> Nr.681/2013</w:t>
            </w:r>
            <w:r w:rsidR="00420786" w:rsidRPr="005D213D">
              <w:rPr>
                <w:rFonts w:ascii="Times New Roman" w:hAnsi="Times New Roman" w:cs="Times New Roman"/>
                <w:sz w:val="25"/>
                <w:szCs w:val="25"/>
              </w:rPr>
              <w:t xml:space="preserve"> </w:t>
            </w:r>
            <w:r w:rsidR="00E009A5" w:rsidRPr="005D213D">
              <w:rPr>
                <w:rFonts w:ascii="Times New Roman" w:hAnsi="Times New Roman" w:cs="Times New Roman"/>
                <w:sz w:val="25"/>
                <w:szCs w:val="25"/>
              </w:rPr>
              <w:t>noteikt</w:t>
            </w:r>
            <w:r w:rsidR="00662523" w:rsidRPr="005D213D">
              <w:rPr>
                <w:rFonts w:ascii="Times New Roman" w:hAnsi="Times New Roman" w:cs="Times New Roman"/>
                <w:sz w:val="25"/>
                <w:szCs w:val="25"/>
              </w:rPr>
              <w:t xml:space="preserve">ajām </w:t>
            </w:r>
            <w:r w:rsidR="00662523">
              <w:rPr>
                <w:rFonts w:ascii="Times New Roman" w:hAnsi="Times New Roman" w:cs="Times New Roman"/>
                <w:sz w:val="25"/>
                <w:szCs w:val="25"/>
              </w:rPr>
              <w:t>prasībām</w:t>
            </w:r>
            <w:r w:rsidR="00420786" w:rsidRPr="004E0DDF">
              <w:rPr>
                <w:rFonts w:ascii="Times New Roman" w:hAnsi="Times New Roman" w:cs="Times New Roman"/>
                <w:sz w:val="25"/>
                <w:szCs w:val="25"/>
              </w:rPr>
              <w:t xml:space="preserve"> </w:t>
            </w:r>
            <w:r w:rsidR="001D6AFB" w:rsidRPr="004E0DDF">
              <w:rPr>
                <w:rFonts w:ascii="Times New Roman" w:hAnsi="Times New Roman" w:cs="Times New Roman"/>
                <w:sz w:val="25"/>
                <w:szCs w:val="25"/>
              </w:rPr>
              <w:t xml:space="preserve">saskaņā ar </w:t>
            </w:r>
            <w:r w:rsidR="001D6AFB" w:rsidRPr="004E0DDF">
              <w:rPr>
                <w:rStyle w:val="Emphasis"/>
                <w:rFonts w:ascii="Times New Roman" w:hAnsi="Times New Roman" w:cs="Times New Roman"/>
                <w:i w:val="0"/>
                <w:sz w:val="25"/>
                <w:szCs w:val="25"/>
              </w:rPr>
              <w:t>Eiropas Savienības Statistikas biroja Eurostat</w:t>
            </w:r>
            <w:r w:rsidR="001D6AFB" w:rsidRPr="004E0DDF">
              <w:rPr>
                <w:rStyle w:val="Emphasis"/>
                <w:rFonts w:ascii="Arial" w:hAnsi="Arial" w:cs="Arial"/>
                <w:sz w:val="25"/>
                <w:szCs w:val="25"/>
              </w:rPr>
              <w:t xml:space="preserve"> </w:t>
            </w:r>
            <w:r w:rsidR="001D6AFB" w:rsidRPr="004E0DDF">
              <w:rPr>
                <w:rStyle w:val="Emphasis"/>
                <w:rFonts w:ascii="Times New Roman" w:hAnsi="Times New Roman" w:cs="Times New Roman"/>
                <w:i w:val="0"/>
                <w:sz w:val="25"/>
                <w:szCs w:val="25"/>
              </w:rPr>
              <w:t xml:space="preserve">datiem 2013.gadā </w:t>
            </w:r>
            <w:r w:rsidR="00420786" w:rsidRPr="004E0DDF">
              <w:rPr>
                <w:rFonts w:ascii="Times New Roman" w:hAnsi="Times New Roman" w:cs="Times New Roman"/>
                <w:sz w:val="25"/>
                <w:szCs w:val="25"/>
              </w:rPr>
              <w:t xml:space="preserve">skars arī  ~ </w:t>
            </w:r>
            <w:r w:rsidR="001D6AFB" w:rsidRPr="004E0DDF">
              <w:rPr>
                <w:rFonts w:ascii="Times New Roman" w:hAnsi="Times New Roman" w:cs="Times New Roman"/>
                <w:sz w:val="25"/>
                <w:szCs w:val="25"/>
              </w:rPr>
              <w:t>505</w:t>
            </w:r>
            <w:r w:rsidR="00420786" w:rsidRPr="004E0DDF">
              <w:rPr>
                <w:rFonts w:ascii="Times New Roman" w:hAnsi="Times New Roman" w:cs="Times New Roman"/>
                <w:sz w:val="25"/>
                <w:szCs w:val="25"/>
              </w:rPr>
              <w:t xml:space="preserve"> miljonus ES patērētāju).</w:t>
            </w:r>
          </w:p>
          <w:p w:rsidR="00420786" w:rsidRPr="004E0DDF" w:rsidRDefault="00420786" w:rsidP="002F39A5">
            <w:pPr>
              <w:spacing w:after="0" w:line="240" w:lineRule="auto"/>
              <w:ind w:firstLine="177"/>
              <w:jc w:val="both"/>
              <w:rPr>
                <w:rFonts w:ascii="Times New Roman" w:eastAsia="Times New Roman" w:hAnsi="Times New Roman" w:cs="Times New Roman"/>
                <w:color w:val="000000"/>
                <w:sz w:val="25"/>
                <w:szCs w:val="25"/>
                <w:highlight w:val="yellow"/>
                <w:lang w:eastAsia="lv-LV"/>
              </w:rPr>
            </w:pPr>
            <w:r w:rsidRPr="004E0DDF">
              <w:rPr>
                <w:rFonts w:ascii="Times New Roman" w:hAnsi="Times New Roman" w:cs="Times New Roman"/>
                <w:sz w:val="25"/>
                <w:szCs w:val="25"/>
              </w:rPr>
              <w:t xml:space="preserve">Tirgus dalībnieki – rotaļlietu ražotāji, to pilnvarotie pārstāvji, importētāji un izplatītāji, kuriem </w:t>
            </w:r>
            <w:r w:rsidR="00E009A5" w:rsidRPr="004E0DDF">
              <w:rPr>
                <w:rFonts w:ascii="Times New Roman" w:hAnsi="Times New Roman" w:cs="Times New Roman"/>
                <w:sz w:val="25"/>
                <w:szCs w:val="25"/>
              </w:rPr>
              <w:t xml:space="preserve">būs jāņem vērā </w:t>
            </w:r>
            <w:r w:rsidRPr="004E0DDF">
              <w:rPr>
                <w:rFonts w:ascii="Times New Roman" w:hAnsi="Times New Roman" w:cs="Times New Roman"/>
                <w:sz w:val="25"/>
                <w:szCs w:val="25"/>
              </w:rPr>
              <w:t xml:space="preserve">Noteikumu projektā </w:t>
            </w:r>
            <w:r w:rsidR="00E009A5" w:rsidRPr="004E0DDF">
              <w:rPr>
                <w:rFonts w:ascii="Times New Roman" w:hAnsi="Times New Roman" w:cs="Times New Roman"/>
                <w:sz w:val="25"/>
                <w:szCs w:val="25"/>
              </w:rPr>
              <w:t xml:space="preserve">noteiktās drošuma prasības ķīmiskām vielām – bārija robežvērtības. </w:t>
            </w:r>
          </w:p>
        </w:tc>
      </w:tr>
      <w:tr w:rsidR="007730EB" w:rsidRPr="00B6553A" w:rsidTr="00F366FD">
        <w:tc>
          <w:tcPr>
            <w:tcW w:w="240" w:type="pct"/>
            <w:tcBorders>
              <w:top w:val="outset" w:sz="6" w:space="0" w:color="auto"/>
              <w:left w:val="outset" w:sz="6" w:space="0" w:color="auto"/>
              <w:right w:val="outset" w:sz="6" w:space="0" w:color="auto"/>
            </w:tcBorders>
          </w:tcPr>
          <w:p w:rsidR="007730EB" w:rsidRPr="004E0DDF" w:rsidRDefault="007730EB" w:rsidP="00014187">
            <w:pPr>
              <w:spacing w:after="0" w:line="240" w:lineRule="auto"/>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2.</w:t>
            </w:r>
          </w:p>
        </w:tc>
        <w:tc>
          <w:tcPr>
            <w:tcW w:w="1335" w:type="pct"/>
            <w:tcBorders>
              <w:top w:val="outset" w:sz="6" w:space="0" w:color="auto"/>
              <w:left w:val="outset" w:sz="6" w:space="0" w:color="auto"/>
              <w:right w:val="outset" w:sz="6" w:space="0" w:color="auto"/>
            </w:tcBorders>
          </w:tcPr>
          <w:p w:rsidR="007730EB" w:rsidRPr="004E0DDF" w:rsidRDefault="007730EB" w:rsidP="00F366FD">
            <w:pPr>
              <w:widowControl w:val="0"/>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Tiesiskā regulējuma ietekme uz tautsaimniecību un administratīvo slogu</w:t>
            </w:r>
          </w:p>
        </w:tc>
        <w:tc>
          <w:tcPr>
            <w:tcW w:w="3425" w:type="pct"/>
            <w:tcBorders>
              <w:top w:val="outset" w:sz="6" w:space="0" w:color="auto"/>
              <w:left w:val="outset" w:sz="6" w:space="0" w:color="auto"/>
              <w:right w:val="outset" w:sz="6" w:space="0" w:color="auto"/>
            </w:tcBorders>
          </w:tcPr>
          <w:p w:rsidR="00BB1A69" w:rsidRPr="004E0DDF" w:rsidRDefault="00D84666" w:rsidP="00D84666">
            <w:pPr>
              <w:widowControl w:val="0"/>
              <w:spacing w:after="0" w:line="240" w:lineRule="auto"/>
              <w:ind w:firstLine="177"/>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 xml:space="preserve">Pieņemot Noteikumu projektu, </w:t>
            </w:r>
            <w:r w:rsidR="00AE1B9A" w:rsidRPr="004E0DDF">
              <w:rPr>
                <w:rFonts w:ascii="Times New Roman" w:eastAsia="Times New Roman" w:hAnsi="Times New Roman" w:cs="Times New Roman"/>
                <w:color w:val="000000"/>
                <w:sz w:val="25"/>
                <w:szCs w:val="25"/>
              </w:rPr>
              <w:t xml:space="preserve">tiks veicināta īpaši neaizsargātākās </w:t>
            </w:r>
            <w:r w:rsidR="003012E9" w:rsidRPr="004E0DDF">
              <w:rPr>
                <w:rFonts w:ascii="Times New Roman" w:eastAsia="Times New Roman" w:hAnsi="Times New Roman" w:cs="Times New Roman"/>
                <w:color w:val="000000"/>
                <w:sz w:val="25"/>
                <w:szCs w:val="25"/>
              </w:rPr>
              <w:t xml:space="preserve">patērētāju </w:t>
            </w:r>
            <w:r w:rsidR="004B595D" w:rsidRPr="004E0DDF">
              <w:rPr>
                <w:rFonts w:ascii="Times New Roman" w:eastAsia="Times New Roman" w:hAnsi="Times New Roman" w:cs="Times New Roman"/>
                <w:color w:val="000000"/>
                <w:sz w:val="25"/>
                <w:szCs w:val="25"/>
              </w:rPr>
              <w:t>grupas</w:t>
            </w:r>
            <w:r w:rsidR="003012E9" w:rsidRPr="004E0DDF">
              <w:rPr>
                <w:rFonts w:ascii="Times New Roman" w:eastAsia="Times New Roman" w:hAnsi="Times New Roman" w:cs="Times New Roman"/>
                <w:color w:val="000000"/>
                <w:sz w:val="25"/>
                <w:szCs w:val="25"/>
              </w:rPr>
              <w:t xml:space="preserve"> – bērnu un viņu pieskatītāju tiesību aizsardzība Latvijā, attiecībā uz drošu rotaļlietu nonākšanu tirgū, attiecīgi uzlabojot esošo tiesisko regulējumu atbilstoši Regulai Nr.681/2013.</w:t>
            </w:r>
            <w:r w:rsidR="00AE1B9A" w:rsidRPr="004E0DDF">
              <w:rPr>
                <w:rFonts w:ascii="Times New Roman" w:eastAsia="Times New Roman" w:hAnsi="Times New Roman" w:cs="Times New Roman"/>
                <w:color w:val="000000"/>
                <w:sz w:val="25"/>
                <w:szCs w:val="25"/>
              </w:rPr>
              <w:t xml:space="preserve"> </w:t>
            </w:r>
          </w:p>
          <w:p w:rsidR="007730EB" w:rsidRPr="004E0DDF" w:rsidRDefault="0018624D" w:rsidP="001864B6">
            <w:pPr>
              <w:widowControl w:val="0"/>
              <w:spacing w:after="0" w:line="240" w:lineRule="auto"/>
              <w:ind w:firstLine="177"/>
              <w:jc w:val="both"/>
              <w:rPr>
                <w:rFonts w:ascii="Times New Roman" w:eastAsia="Times New Roman" w:hAnsi="Times New Roman" w:cs="Times New Roman"/>
                <w:color w:val="000000"/>
                <w:sz w:val="25"/>
                <w:szCs w:val="25"/>
                <w:highlight w:val="yellow"/>
              </w:rPr>
            </w:pPr>
            <w:r w:rsidRPr="004E0DDF">
              <w:rPr>
                <w:rFonts w:ascii="Times New Roman" w:eastAsia="Times New Roman" w:hAnsi="Times New Roman" w:cs="Times New Roman"/>
                <w:color w:val="000000"/>
                <w:sz w:val="25"/>
                <w:szCs w:val="25"/>
              </w:rPr>
              <w:t>Noteikumu projektā ietvertais regulējums</w:t>
            </w:r>
            <w:r w:rsidR="00FC3300" w:rsidRPr="004E0DDF">
              <w:rPr>
                <w:rFonts w:ascii="Times New Roman" w:eastAsia="Times New Roman" w:hAnsi="Times New Roman" w:cs="Times New Roman"/>
                <w:color w:val="000000"/>
                <w:sz w:val="25"/>
                <w:szCs w:val="25"/>
              </w:rPr>
              <w:t xml:space="preserve"> neparedz patērētājiem</w:t>
            </w:r>
            <w:r w:rsidR="001864B6" w:rsidRPr="004E0DDF">
              <w:rPr>
                <w:rFonts w:ascii="Times New Roman" w:eastAsia="Times New Roman" w:hAnsi="Times New Roman" w:cs="Times New Roman"/>
                <w:color w:val="000000"/>
                <w:sz w:val="25"/>
                <w:szCs w:val="25"/>
              </w:rPr>
              <w:t xml:space="preserve"> un </w:t>
            </w:r>
            <w:r w:rsidR="00FC3300" w:rsidRPr="004E0DDF">
              <w:rPr>
                <w:rFonts w:ascii="Times New Roman" w:eastAsia="Times New Roman" w:hAnsi="Times New Roman" w:cs="Times New Roman"/>
                <w:color w:val="000000"/>
                <w:sz w:val="25"/>
                <w:szCs w:val="25"/>
              </w:rPr>
              <w:t>par Noteikumu projekta izpildi atbildīgajai iestādei papildu tiesības un pienākumus, kā arī veicamās darbības.</w:t>
            </w:r>
            <w:r w:rsidRPr="004E0DDF">
              <w:rPr>
                <w:rFonts w:ascii="Times New Roman" w:eastAsia="Times New Roman" w:hAnsi="Times New Roman" w:cs="Times New Roman"/>
                <w:color w:val="000000"/>
                <w:sz w:val="25"/>
                <w:szCs w:val="25"/>
              </w:rPr>
              <w:t xml:space="preserve"> </w:t>
            </w:r>
            <w:r w:rsidR="007730EB" w:rsidRPr="004E0DDF">
              <w:rPr>
                <w:rFonts w:ascii="Times New Roman" w:eastAsia="Times New Roman" w:hAnsi="Times New Roman" w:cs="Times New Roman"/>
                <w:color w:val="000000"/>
                <w:sz w:val="25"/>
                <w:szCs w:val="25"/>
              </w:rPr>
              <w:t xml:space="preserve">   </w:t>
            </w:r>
          </w:p>
        </w:tc>
      </w:tr>
      <w:tr w:rsidR="007730EB" w:rsidRPr="00B6553A" w:rsidTr="00F366FD">
        <w:tc>
          <w:tcPr>
            <w:tcW w:w="240" w:type="pct"/>
            <w:tcBorders>
              <w:top w:val="outset" w:sz="6" w:space="0" w:color="auto"/>
              <w:left w:val="outset" w:sz="6" w:space="0" w:color="auto"/>
              <w:right w:val="outset" w:sz="6" w:space="0" w:color="auto"/>
            </w:tcBorders>
          </w:tcPr>
          <w:p w:rsidR="007730EB" w:rsidRPr="004E0DDF" w:rsidRDefault="007730EB" w:rsidP="00014187">
            <w:pPr>
              <w:spacing w:after="0" w:line="240" w:lineRule="auto"/>
              <w:rPr>
                <w:rFonts w:ascii="Times New Roman" w:eastAsia="Arial Unicode MS" w:hAnsi="Times New Roman" w:cs="Times New Roman"/>
                <w:color w:val="000000"/>
                <w:sz w:val="25"/>
                <w:szCs w:val="25"/>
              </w:rPr>
            </w:pPr>
            <w:r w:rsidRPr="004E0DDF">
              <w:rPr>
                <w:rFonts w:ascii="Times New Roman" w:eastAsia="Arial Unicode MS" w:hAnsi="Times New Roman" w:cs="Times New Roman"/>
                <w:color w:val="000000"/>
                <w:sz w:val="25"/>
                <w:szCs w:val="25"/>
              </w:rPr>
              <w:t>3.</w:t>
            </w:r>
          </w:p>
        </w:tc>
        <w:tc>
          <w:tcPr>
            <w:tcW w:w="1335" w:type="pct"/>
            <w:tcBorders>
              <w:top w:val="outset" w:sz="6" w:space="0" w:color="auto"/>
              <w:left w:val="outset" w:sz="6" w:space="0" w:color="auto"/>
              <w:right w:val="outset" w:sz="6" w:space="0" w:color="auto"/>
            </w:tcBorders>
          </w:tcPr>
          <w:p w:rsidR="007730EB" w:rsidRPr="004E0DDF" w:rsidRDefault="007730EB" w:rsidP="00F366FD">
            <w:pPr>
              <w:spacing w:after="0" w:line="240" w:lineRule="auto"/>
              <w:jc w:val="both"/>
              <w:rPr>
                <w:rFonts w:ascii="Times New Roman" w:eastAsia="Arial Unicode MS" w:hAnsi="Times New Roman" w:cs="Times New Roman"/>
                <w:color w:val="000000"/>
                <w:sz w:val="25"/>
                <w:szCs w:val="25"/>
              </w:rPr>
            </w:pPr>
            <w:r w:rsidRPr="004E0DDF">
              <w:rPr>
                <w:rFonts w:ascii="Times New Roman" w:eastAsia="Arial Unicode MS" w:hAnsi="Times New Roman" w:cs="Times New Roman"/>
                <w:color w:val="000000"/>
                <w:sz w:val="25"/>
                <w:szCs w:val="25"/>
              </w:rPr>
              <w:t>Administratīvo izmaksu monetārs novērtējums</w:t>
            </w:r>
          </w:p>
        </w:tc>
        <w:tc>
          <w:tcPr>
            <w:tcW w:w="3425" w:type="pct"/>
            <w:tcBorders>
              <w:top w:val="outset" w:sz="6" w:space="0" w:color="auto"/>
              <w:left w:val="outset" w:sz="6" w:space="0" w:color="auto"/>
              <w:right w:val="outset" w:sz="6" w:space="0" w:color="auto"/>
            </w:tcBorders>
          </w:tcPr>
          <w:p w:rsidR="007730EB" w:rsidRPr="004E0DDF" w:rsidRDefault="00A22E18" w:rsidP="007E3E84">
            <w:pPr>
              <w:spacing w:after="0" w:line="240" w:lineRule="auto"/>
              <w:ind w:firstLine="177"/>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 xml:space="preserve">Noteikumu projektam nav tiešas finansiālas ietekmes uz patērētājiem, jo šobrīd nav pieejama informācija, ka līdz ar normatīvā akta pieņemšanu, kas paredz bārija pieļaujamās izmantotās robežvērtības samazināšanu, tiktu paaugstinātas rotaļlietu cenas. </w:t>
            </w:r>
          </w:p>
          <w:p w:rsidR="006A3A9F" w:rsidRPr="004E0DDF" w:rsidRDefault="006A3A9F" w:rsidP="006A3A9F">
            <w:pPr>
              <w:widowControl w:val="0"/>
              <w:spacing w:after="0" w:line="240" w:lineRule="auto"/>
              <w:ind w:firstLine="177"/>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Tā kā viens no galvenajiem mērķiem, kāpēc Eiropas Komisija izvēlējās veikt grozījumus Direktīvā 2009/48/EK ar Regulu Nr.681/2013</w:t>
            </w:r>
            <w:r w:rsidR="00B85529" w:rsidRPr="004E0DDF">
              <w:rPr>
                <w:rFonts w:ascii="Times New Roman" w:eastAsia="Times New Roman" w:hAnsi="Times New Roman" w:cs="Times New Roman"/>
                <w:color w:val="000000"/>
                <w:sz w:val="25"/>
                <w:szCs w:val="25"/>
              </w:rPr>
              <w:t>,</w:t>
            </w:r>
            <w:r w:rsidRPr="004E0DDF">
              <w:rPr>
                <w:rFonts w:ascii="Times New Roman" w:eastAsia="Times New Roman" w:hAnsi="Times New Roman" w:cs="Times New Roman"/>
                <w:color w:val="000000"/>
                <w:sz w:val="25"/>
                <w:szCs w:val="25"/>
              </w:rPr>
              <w:t xml:space="preserve"> bija lai pēc iespējas labāk un ātrāk </w:t>
            </w:r>
            <w:r w:rsidRPr="004E0DDF">
              <w:rPr>
                <w:rFonts w:ascii="Times New Roman" w:eastAsia="Times New Roman" w:hAnsi="Times New Roman" w:cs="Times New Roman"/>
                <w:color w:val="000000"/>
                <w:sz w:val="25"/>
                <w:szCs w:val="25"/>
              </w:rPr>
              <w:lastRenderedPageBreak/>
              <w:t xml:space="preserve">aizsargātu cilvēku, un jo īpaši bērnu, veselību un dzīvību, tad konkrētajā gadījumā ieguvums no šādas normas ir stādīts augstāk par iespējamām komersantu izmaksām, lai pielāgotu attiecīgi rotaļlietu ražošanas procesu jaunajām bārija robežvērtībām. </w:t>
            </w:r>
          </w:p>
          <w:p w:rsidR="007E3F36" w:rsidRPr="004E0DDF" w:rsidRDefault="007E3F36" w:rsidP="006A3A9F">
            <w:pPr>
              <w:widowControl w:val="0"/>
              <w:spacing w:after="0" w:line="240" w:lineRule="auto"/>
              <w:ind w:firstLine="177"/>
              <w:jc w:val="both"/>
              <w:rPr>
                <w:rFonts w:ascii="Times New Roman" w:eastAsia="Times New Roman" w:hAnsi="Times New Roman" w:cs="Times New Roman"/>
                <w:color w:val="000000"/>
                <w:sz w:val="25"/>
                <w:szCs w:val="25"/>
              </w:rPr>
            </w:pPr>
            <w:r w:rsidRPr="004E0DDF">
              <w:rPr>
                <w:rFonts w:ascii="Times New Roman" w:hAnsi="Times New Roman" w:cs="Times New Roman"/>
                <w:sz w:val="25"/>
                <w:szCs w:val="25"/>
              </w:rPr>
              <w:t>Citas sabiedrības grupas Noteikumu projekts finansiāli neietekmē.</w:t>
            </w:r>
          </w:p>
        </w:tc>
      </w:tr>
      <w:tr w:rsidR="007730EB" w:rsidRPr="00B6553A" w:rsidTr="00F366FD">
        <w:tc>
          <w:tcPr>
            <w:tcW w:w="240" w:type="pct"/>
            <w:tcBorders>
              <w:top w:val="outset" w:sz="6" w:space="0" w:color="auto"/>
              <w:left w:val="outset" w:sz="6" w:space="0" w:color="auto"/>
              <w:right w:val="outset" w:sz="6" w:space="0" w:color="auto"/>
            </w:tcBorders>
          </w:tcPr>
          <w:p w:rsidR="007730EB" w:rsidRPr="004E0DDF" w:rsidRDefault="007730EB" w:rsidP="00014187">
            <w:pPr>
              <w:spacing w:after="0" w:line="240" w:lineRule="auto"/>
              <w:rPr>
                <w:rFonts w:ascii="Times New Roman" w:eastAsia="Arial Unicode MS" w:hAnsi="Times New Roman" w:cs="Times New Roman"/>
                <w:color w:val="000000"/>
                <w:sz w:val="25"/>
                <w:szCs w:val="25"/>
              </w:rPr>
            </w:pPr>
            <w:r w:rsidRPr="004E0DDF">
              <w:rPr>
                <w:rFonts w:ascii="Times New Roman" w:eastAsia="Arial Unicode MS" w:hAnsi="Times New Roman" w:cs="Times New Roman"/>
                <w:color w:val="000000"/>
                <w:sz w:val="25"/>
                <w:szCs w:val="25"/>
              </w:rPr>
              <w:lastRenderedPageBreak/>
              <w:t>4.</w:t>
            </w:r>
          </w:p>
        </w:tc>
        <w:tc>
          <w:tcPr>
            <w:tcW w:w="1335" w:type="pct"/>
            <w:tcBorders>
              <w:top w:val="outset" w:sz="6" w:space="0" w:color="auto"/>
              <w:left w:val="outset" w:sz="6" w:space="0" w:color="auto"/>
              <w:right w:val="outset" w:sz="6" w:space="0" w:color="auto"/>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Cita informācija</w:t>
            </w:r>
          </w:p>
        </w:tc>
        <w:tc>
          <w:tcPr>
            <w:tcW w:w="3425" w:type="pct"/>
            <w:tcBorders>
              <w:top w:val="outset" w:sz="6" w:space="0" w:color="auto"/>
              <w:left w:val="outset" w:sz="6" w:space="0" w:color="auto"/>
              <w:right w:val="outset" w:sz="6" w:space="0" w:color="auto"/>
            </w:tcBorders>
            <w:shd w:val="clear" w:color="auto" w:fill="auto"/>
          </w:tcPr>
          <w:p w:rsidR="007730EB" w:rsidRPr="004E0DDF" w:rsidRDefault="007730EB" w:rsidP="00F366FD">
            <w:pPr>
              <w:widowControl w:val="0"/>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Nav.</w:t>
            </w:r>
          </w:p>
        </w:tc>
      </w:tr>
    </w:tbl>
    <w:p w:rsidR="007730EB" w:rsidRPr="00B6553A" w:rsidRDefault="007730EB" w:rsidP="00F366FD">
      <w:pPr>
        <w:spacing w:after="0" w:line="240" w:lineRule="auto"/>
        <w:jc w:val="both"/>
        <w:rPr>
          <w:rFonts w:ascii="Times New Roman" w:eastAsia="Times New Roman" w:hAnsi="Times New Roman" w:cs="Times New Roman"/>
          <w:color w:val="000000"/>
          <w:sz w:val="24"/>
          <w:szCs w:val="24"/>
          <w:lang w:eastAsia="lv-LV"/>
        </w:rPr>
      </w:pPr>
    </w:p>
    <w:p w:rsidR="007730EB" w:rsidRDefault="007730EB" w:rsidP="00F366FD">
      <w:pPr>
        <w:spacing w:after="0" w:line="240" w:lineRule="auto"/>
        <w:rPr>
          <w:rFonts w:ascii="Times New Roman" w:eastAsia="Calibri" w:hAnsi="Times New Roman" w:cs="Times New Roman"/>
          <w:color w:val="000000"/>
          <w:highlight w:val="yellow"/>
        </w:rPr>
      </w:pPr>
    </w:p>
    <w:tbl>
      <w:tblPr>
        <w:tblW w:w="907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744"/>
        <w:gridCol w:w="5792"/>
      </w:tblGrid>
      <w:tr w:rsidR="00F366FD" w:rsidRPr="00F366FD" w:rsidTr="00F366FD">
        <w:tc>
          <w:tcPr>
            <w:tcW w:w="5000" w:type="pct"/>
            <w:gridSpan w:val="3"/>
            <w:tcBorders>
              <w:top w:val="single" w:sz="4" w:space="0" w:color="auto"/>
              <w:left w:val="single" w:sz="4" w:space="0" w:color="auto"/>
              <w:bottom w:val="single" w:sz="4" w:space="0" w:color="auto"/>
              <w:right w:val="single" w:sz="4" w:space="0" w:color="auto"/>
            </w:tcBorders>
          </w:tcPr>
          <w:p w:rsidR="00F366FD" w:rsidRPr="00A26FEC" w:rsidRDefault="00F366FD" w:rsidP="00F366FD">
            <w:pPr>
              <w:spacing w:after="0" w:line="240" w:lineRule="auto"/>
              <w:jc w:val="center"/>
              <w:rPr>
                <w:rFonts w:ascii="Times New Roman" w:eastAsia="Times New Roman" w:hAnsi="Times New Roman" w:cs="Times New Roman"/>
                <w:b/>
                <w:bCs/>
                <w:sz w:val="28"/>
                <w:szCs w:val="28"/>
                <w:lang w:eastAsia="lv-LV"/>
              </w:rPr>
            </w:pPr>
          </w:p>
          <w:p w:rsidR="00F366FD" w:rsidRPr="00A26FEC" w:rsidRDefault="00F366FD" w:rsidP="00F366FD">
            <w:pPr>
              <w:spacing w:after="0" w:line="240" w:lineRule="auto"/>
              <w:jc w:val="center"/>
              <w:rPr>
                <w:rFonts w:ascii="Times New Roman" w:eastAsia="Times New Roman" w:hAnsi="Times New Roman" w:cs="Times New Roman"/>
                <w:b/>
                <w:bCs/>
                <w:sz w:val="28"/>
                <w:szCs w:val="28"/>
                <w:lang w:eastAsia="lv-LV"/>
              </w:rPr>
            </w:pPr>
            <w:r w:rsidRPr="00A26FEC">
              <w:rPr>
                <w:rFonts w:ascii="Times New Roman" w:eastAsia="Times New Roman" w:hAnsi="Times New Roman" w:cs="Times New Roman"/>
                <w:b/>
                <w:bCs/>
                <w:sz w:val="28"/>
                <w:szCs w:val="28"/>
                <w:lang w:eastAsia="lv-LV"/>
              </w:rPr>
              <w:t>V. Tiesību akta projekta atbilstība Latvijas Republikas starptautiskajām saistībām</w:t>
            </w:r>
          </w:p>
        </w:tc>
      </w:tr>
      <w:tr w:rsidR="00F366FD" w:rsidRPr="00F366FD" w:rsidTr="00F366FD">
        <w:tc>
          <w:tcPr>
            <w:tcW w:w="296" w:type="pct"/>
            <w:tcBorders>
              <w:top w:val="single" w:sz="4" w:space="0" w:color="auto"/>
              <w:left w:val="single" w:sz="4" w:space="0" w:color="auto"/>
              <w:bottom w:val="single" w:sz="4" w:space="0" w:color="auto"/>
              <w:right w:val="single" w:sz="4" w:space="0" w:color="auto"/>
            </w:tcBorders>
          </w:tcPr>
          <w:p w:rsidR="00F366FD" w:rsidRPr="004E0DDF" w:rsidRDefault="00F366FD" w:rsidP="00014187">
            <w:pPr>
              <w:tabs>
                <w:tab w:val="left" w:pos="2628"/>
              </w:tabs>
              <w:spacing w:after="0" w:line="240" w:lineRule="auto"/>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iCs/>
                <w:sz w:val="25"/>
                <w:szCs w:val="25"/>
                <w:lang w:eastAsia="lv-LV"/>
              </w:rPr>
              <w:t>1.</w:t>
            </w:r>
          </w:p>
        </w:tc>
        <w:tc>
          <w:tcPr>
            <w:tcW w:w="1512" w:type="pct"/>
            <w:tcBorders>
              <w:top w:val="single" w:sz="4" w:space="0" w:color="auto"/>
              <w:left w:val="single" w:sz="4" w:space="0" w:color="auto"/>
              <w:bottom w:val="single" w:sz="4" w:space="0" w:color="auto"/>
              <w:right w:val="single" w:sz="4" w:space="0" w:color="auto"/>
            </w:tcBorders>
          </w:tcPr>
          <w:p w:rsidR="00F366FD" w:rsidRPr="004E0DDF" w:rsidRDefault="00F366FD" w:rsidP="00F366FD">
            <w:pPr>
              <w:spacing w:after="0" w:line="240" w:lineRule="auto"/>
              <w:jc w:val="both"/>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sz w:val="25"/>
                <w:szCs w:val="25"/>
                <w:lang w:eastAsia="lv-LV"/>
              </w:rPr>
              <w:t>Saistības pret Eiropas Savienību</w:t>
            </w:r>
          </w:p>
        </w:tc>
        <w:tc>
          <w:tcPr>
            <w:tcW w:w="3191" w:type="pct"/>
            <w:tcBorders>
              <w:top w:val="single" w:sz="4" w:space="0" w:color="auto"/>
              <w:left w:val="single" w:sz="4" w:space="0" w:color="auto"/>
              <w:bottom w:val="single" w:sz="4" w:space="0" w:color="auto"/>
              <w:right w:val="single" w:sz="4" w:space="0" w:color="auto"/>
            </w:tcBorders>
          </w:tcPr>
          <w:p w:rsidR="00C929C9" w:rsidRDefault="00C929C9" w:rsidP="00F366FD">
            <w:pPr>
              <w:tabs>
                <w:tab w:val="left" w:pos="297"/>
              </w:tabs>
              <w:spacing w:after="0" w:line="240" w:lineRule="auto"/>
              <w:ind w:left="13"/>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1) </w:t>
            </w:r>
            <w:r w:rsidRPr="00342FEE">
              <w:rPr>
                <w:rFonts w:ascii="Times New Roman" w:eastAsia="Times New Roman" w:hAnsi="Times New Roman" w:cs="Times New Roman"/>
                <w:color w:val="000000"/>
                <w:sz w:val="25"/>
                <w:szCs w:val="25"/>
              </w:rPr>
              <w:t>Eiropas Parlamenta un Padomes 2009.gada 18.jūnija direktīva 2009/48/EK par rotaļlietu drošumu</w:t>
            </w:r>
            <w:r>
              <w:rPr>
                <w:rFonts w:ascii="Times New Roman" w:eastAsia="Times New Roman" w:hAnsi="Times New Roman" w:cs="Times New Roman"/>
                <w:color w:val="000000"/>
                <w:sz w:val="25"/>
                <w:szCs w:val="25"/>
              </w:rPr>
              <w:t>.</w:t>
            </w:r>
          </w:p>
          <w:p w:rsidR="00F366FD" w:rsidRPr="004E0DDF" w:rsidRDefault="00C929C9" w:rsidP="00F366FD">
            <w:pPr>
              <w:tabs>
                <w:tab w:val="left" w:pos="297"/>
              </w:tabs>
              <w:spacing w:after="0" w:line="240" w:lineRule="auto"/>
              <w:ind w:left="13"/>
              <w:jc w:val="both"/>
              <w:rPr>
                <w:rFonts w:ascii="Times New Roman" w:eastAsia="Times New Roman" w:hAnsi="Times New Roman" w:cs="Times New Roman"/>
                <w:bCs/>
                <w:sz w:val="25"/>
                <w:szCs w:val="25"/>
                <w:lang w:eastAsia="lv-LV"/>
              </w:rPr>
            </w:pPr>
            <w:r>
              <w:rPr>
                <w:rFonts w:ascii="Times New Roman" w:eastAsia="Times New Roman" w:hAnsi="Times New Roman" w:cs="Times New Roman"/>
                <w:color w:val="000000"/>
                <w:sz w:val="25"/>
                <w:szCs w:val="25"/>
              </w:rPr>
              <w:t xml:space="preserve">2) </w:t>
            </w:r>
            <w:r w:rsidR="0074172F" w:rsidRPr="004E0DDF">
              <w:rPr>
                <w:rFonts w:ascii="Times New Roman" w:eastAsia="Times New Roman" w:hAnsi="Times New Roman" w:cs="Times New Roman"/>
                <w:color w:val="000000"/>
                <w:sz w:val="25"/>
                <w:szCs w:val="25"/>
              </w:rPr>
              <w:t xml:space="preserve">Komisijas 2013.gada 17.jūlija Regula (ES) Nr.681/2013, ar ko groza II pielikuma III daļu Eiropas Parlamenta un Padomes Direktīvai 2009/48/EK </w:t>
            </w:r>
            <w:r w:rsidR="0074172F" w:rsidRPr="004E0DDF">
              <w:rPr>
                <w:rFonts w:ascii="Times New Roman" w:eastAsia="Times New Roman" w:hAnsi="Times New Roman" w:cs="Times New Roman"/>
                <w:i/>
                <w:color w:val="000000"/>
                <w:sz w:val="25"/>
                <w:szCs w:val="25"/>
              </w:rPr>
              <w:t>par rotaļlietu drošumu</w:t>
            </w:r>
            <w:r w:rsidR="0074172F" w:rsidRPr="004E0DDF">
              <w:rPr>
                <w:rFonts w:ascii="Times New Roman" w:eastAsia="Times New Roman" w:hAnsi="Times New Roman" w:cs="Times New Roman"/>
                <w:color w:val="000000"/>
                <w:sz w:val="25"/>
                <w:szCs w:val="25"/>
              </w:rPr>
              <w:t>.</w:t>
            </w:r>
          </w:p>
        </w:tc>
      </w:tr>
      <w:tr w:rsidR="00F366FD" w:rsidRPr="00F366FD" w:rsidTr="00F366FD">
        <w:tc>
          <w:tcPr>
            <w:tcW w:w="296" w:type="pct"/>
            <w:tcBorders>
              <w:top w:val="single" w:sz="4" w:space="0" w:color="auto"/>
              <w:left w:val="single" w:sz="4" w:space="0" w:color="auto"/>
              <w:bottom w:val="single" w:sz="4" w:space="0" w:color="auto"/>
              <w:right w:val="single" w:sz="4" w:space="0" w:color="auto"/>
            </w:tcBorders>
          </w:tcPr>
          <w:p w:rsidR="00F366FD" w:rsidRPr="004E0DDF" w:rsidRDefault="00F366FD" w:rsidP="00014187">
            <w:pPr>
              <w:tabs>
                <w:tab w:val="left" w:pos="2628"/>
              </w:tabs>
              <w:spacing w:after="0" w:line="240" w:lineRule="auto"/>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iCs/>
                <w:sz w:val="25"/>
                <w:szCs w:val="25"/>
                <w:lang w:eastAsia="lv-LV"/>
              </w:rPr>
              <w:t>2.</w:t>
            </w:r>
          </w:p>
        </w:tc>
        <w:tc>
          <w:tcPr>
            <w:tcW w:w="1512" w:type="pct"/>
            <w:tcBorders>
              <w:top w:val="single" w:sz="4" w:space="0" w:color="auto"/>
              <w:left w:val="single" w:sz="4" w:space="0" w:color="auto"/>
              <w:bottom w:val="single" w:sz="4" w:space="0" w:color="auto"/>
              <w:right w:val="single" w:sz="4" w:space="0" w:color="auto"/>
            </w:tcBorders>
          </w:tcPr>
          <w:p w:rsidR="00F366FD" w:rsidRPr="004E0DDF" w:rsidRDefault="00F366FD" w:rsidP="00F366FD">
            <w:pPr>
              <w:tabs>
                <w:tab w:val="left" w:pos="2628"/>
              </w:tabs>
              <w:spacing w:after="0" w:line="240" w:lineRule="auto"/>
              <w:jc w:val="both"/>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sz w:val="25"/>
                <w:szCs w:val="25"/>
                <w:lang w:eastAsia="lv-LV"/>
              </w:rPr>
              <w:t>Citas starptautiskās saistības</w:t>
            </w:r>
          </w:p>
        </w:tc>
        <w:tc>
          <w:tcPr>
            <w:tcW w:w="3191" w:type="pct"/>
            <w:tcBorders>
              <w:top w:val="single" w:sz="4" w:space="0" w:color="auto"/>
              <w:left w:val="single" w:sz="4" w:space="0" w:color="auto"/>
              <w:bottom w:val="single" w:sz="4" w:space="0" w:color="auto"/>
              <w:right w:val="single" w:sz="4" w:space="0" w:color="auto"/>
            </w:tcBorders>
          </w:tcPr>
          <w:p w:rsidR="00F366FD" w:rsidRPr="004E0DDF" w:rsidRDefault="00F366FD" w:rsidP="00F366FD">
            <w:pPr>
              <w:tabs>
                <w:tab w:val="left" w:pos="2628"/>
              </w:tabs>
              <w:spacing w:after="0" w:line="240" w:lineRule="auto"/>
              <w:jc w:val="both"/>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sz w:val="25"/>
                <w:szCs w:val="25"/>
                <w:lang w:eastAsia="lv-LV"/>
              </w:rPr>
              <w:t>Projekts šo jomu neskar.</w:t>
            </w:r>
          </w:p>
        </w:tc>
      </w:tr>
      <w:tr w:rsidR="00F366FD" w:rsidRPr="00F366FD" w:rsidTr="00F366FD">
        <w:tc>
          <w:tcPr>
            <w:tcW w:w="296" w:type="pct"/>
            <w:tcBorders>
              <w:top w:val="single" w:sz="4" w:space="0" w:color="auto"/>
              <w:left w:val="single" w:sz="4" w:space="0" w:color="auto"/>
              <w:bottom w:val="single" w:sz="4" w:space="0" w:color="auto"/>
              <w:right w:val="single" w:sz="4" w:space="0" w:color="auto"/>
            </w:tcBorders>
          </w:tcPr>
          <w:p w:rsidR="00F366FD" w:rsidRPr="004E0DDF" w:rsidRDefault="00F366FD" w:rsidP="00014187">
            <w:pPr>
              <w:tabs>
                <w:tab w:val="left" w:pos="2628"/>
              </w:tabs>
              <w:spacing w:after="0" w:line="240" w:lineRule="auto"/>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iCs/>
                <w:sz w:val="25"/>
                <w:szCs w:val="25"/>
                <w:lang w:eastAsia="lv-LV"/>
              </w:rPr>
              <w:t>3.</w:t>
            </w:r>
          </w:p>
        </w:tc>
        <w:tc>
          <w:tcPr>
            <w:tcW w:w="1512" w:type="pct"/>
            <w:tcBorders>
              <w:top w:val="single" w:sz="4" w:space="0" w:color="auto"/>
              <w:left w:val="single" w:sz="4" w:space="0" w:color="auto"/>
              <w:bottom w:val="single" w:sz="4" w:space="0" w:color="auto"/>
              <w:right w:val="single" w:sz="4" w:space="0" w:color="auto"/>
            </w:tcBorders>
          </w:tcPr>
          <w:p w:rsidR="00F366FD" w:rsidRPr="004E0DDF" w:rsidRDefault="00F366FD" w:rsidP="00F366FD">
            <w:pPr>
              <w:tabs>
                <w:tab w:val="left" w:pos="2628"/>
              </w:tabs>
              <w:spacing w:after="0" w:line="240" w:lineRule="auto"/>
              <w:jc w:val="both"/>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Cita informācija</w:t>
            </w:r>
          </w:p>
        </w:tc>
        <w:tc>
          <w:tcPr>
            <w:tcW w:w="3191" w:type="pct"/>
            <w:tcBorders>
              <w:top w:val="single" w:sz="4" w:space="0" w:color="auto"/>
              <w:left w:val="single" w:sz="4" w:space="0" w:color="auto"/>
              <w:bottom w:val="single" w:sz="4" w:space="0" w:color="auto"/>
              <w:right w:val="single" w:sz="4" w:space="0" w:color="auto"/>
            </w:tcBorders>
          </w:tcPr>
          <w:p w:rsidR="00F366FD" w:rsidRPr="004E0DDF" w:rsidRDefault="00F366FD" w:rsidP="00F366FD">
            <w:pPr>
              <w:tabs>
                <w:tab w:val="left" w:pos="2628"/>
              </w:tabs>
              <w:spacing w:after="0" w:line="240" w:lineRule="auto"/>
              <w:jc w:val="both"/>
              <w:rPr>
                <w:rFonts w:ascii="Times New Roman" w:eastAsia="Times New Roman" w:hAnsi="Times New Roman" w:cs="Times New Roman"/>
                <w:iCs/>
                <w:sz w:val="25"/>
                <w:szCs w:val="25"/>
                <w:lang w:eastAsia="lv-LV"/>
              </w:rPr>
            </w:pPr>
            <w:r w:rsidRPr="004E0DDF">
              <w:rPr>
                <w:rFonts w:ascii="Times New Roman" w:eastAsia="Times New Roman" w:hAnsi="Times New Roman" w:cs="Times New Roman"/>
                <w:iCs/>
                <w:sz w:val="25"/>
                <w:szCs w:val="25"/>
                <w:lang w:eastAsia="lv-LV"/>
              </w:rPr>
              <w:t>Nav</w:t>
            </w:r>
          </w:p>
        </w:tc>
      </w:tr>
    </w:tbl>
    <w:p w:rsidR="00F366FD" w:rsidRPr="00F366FD" w:rsidRDefault="00F366FD" w:rsidP="00F366FD">
      <w:pPr>
        <w:spacing w:after="0" w:line="240" w:lineRule="auto"/>
        <w:ind w:firstLine="375"/>
        <w:jc w:val="both"/>
        <w:rPr>
          <w:rFonts w:ascii="Times New Roman" w:eastAsia="Times New Roman" w:hAnsi="Times New Roman" w:cs="Times New Roman"/>
          <w:sz w:val="27"/>
          <w:szCs w:val="27"/>
          <w:lang w:eastAsia="lv-LV"/>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89"/>
        <w:gridCol w:w="2126"/>
        <w:gridCol w:w="1559"/>
        <w:gridCol w:w="1985"/>
      </w:tblGrid>
      <w:tr w:rsidR="00F366FD" w:rsidRPr="00F366FD" w:rsidTr="00F366FD">
        <w:trPr>
          <w:trHeight w:val="523"/>
        </w:trPr>
        <w:tc>
          <w:tcPr>
            <w:tcW w:w="8959" w:type="dxa"/>
            <w:gridSpan w:val="4"/>
            <w:tcBorders>
              <w:top w:val="single" w:sz="4" w:space="0" w:color="auto"/>
              <w:left w:val="single" w:sz="4" w:space="0" w:color="auto"/>
              <w:bottom w:val="single" w:sz="4" w:space="0" w:color="auto"/>
              <w:right w:val="single" w:sz="4" w:space="0" w:color="auto"/>
            </w:tcBorders>
            <w:vAlign w:val="center"/>
          </w:tcPr>
          <w:p w:rsidR="00F366FD" w:rsidRPr="00A26FEC" w:rsidRDefault="00F366FD" w:rsidP="00F366FD">
            <w:pPr>
              <w:spacing w:after="0" w:line="240" w:lineRule="auto"/>
              <w:jc w:val="center"/>
              <w:rPr>
                <w:rFonts w:ascii="Times New Roman" w:eastAsia="Times New Roman" w:hAnsi="Times New Roman" w:cs="Times New Roman"/>
                <w:b/>
                <w:bCs/>
                <w:sz w:val="28"/>
                <w:szCs w:val="28"/>
                <w:lang w:eastAsia="lv-LV"/>
              </w:rPr>
            </w:pPr>
            <w:r w:rsidRPr="00A26FEC">
              <w:rPr>
                <w:rFonts w:ascii="Times New Roman" w:eastAsia="Times New Roman" w:hAnsi="Times New Roman" w:cs="Times New Roman"/>
                <w:b/>
                <w:bCs/>
                <w:sz w:val="28"/>
                <w:szCs w:val="28"/>
                <w:lang w:eastAsia="lv-LV"/>
              </w:rPr>
              <w:t xml:space="preserve">1.tabula </w:t>
            </w:r>
          </w:p>
          <w:p w:rsidR="00F366FD" w:rsidRPr="00F366FD" w:rsidRDefault="00F366FD" w:rsidP="00F366FD">
            <w:pPr>
              <w:spacing w:after="0" w:line="240" w:lineRule="auto"/>
              <w:jc w:val="center"/>
              <w:rPr>
                <w:rFonts w:ascii="Times New Roman" w:eastAsia="Times New Roman" w:hAnsi="Times New Roman" w:cs="Times New Roman"/>
                <w:b/>
                <w:bCs/>
                <w:i/>
                <w:sz w:val="27"/>
                <w:szCs w:val="27"/>
                <w:lang w:eastAsia="lv-LV"/>
              </w:rPr>
            </w:pPr>
            <w:r w:rsidRPr="00A26FEC">
              <w:rPr>
                <w:rFonts w:ascii="Times New Roman" w:eastAsia="Times New Roman" w:hAnsi="Times New Roman" w:cs="Times New Roman"/>
                <w:b/>
                <w:bCs/>
                <w:sz w:val="28"/>
                <w:szCs w:val="28"/>
                <w:lang w:eastAsia="lv-LV"/>
              </w:rPr>
              <w:t>Tiesību akta projekta atbilstība ES tiesību aktiem</w:t>
            </w:r>
          </w:p>
        </w:tc>
      </w:tr>
      <w:tr w:rsidR="00F366FD" w:rsidRPr="00F366FD" w:rsidTr="00F366FD">
        <w:trPr>
          <w:trHeight w:val="163"/>
        </w:trPr>
        <w:tc>
          <w:tcPr>
            <w:tcW w:w="8959" w:type="dxa"/>
            <w:gridSpan w:val="4"/>
            <w:tcBorders>
              <w:top w:val="single" w:sz="4" w:space="0" w:color="auto"/>
              <w:left w:val="single" w:sz="4" w:space="0" w:color="auto"/>
              <w:bottom w:val="single" w:sz="4" w:space="0" w:color="auto"/>
              <w:right w:val="single" w:sz="4" w:space="0" w:color="auto"/>
            </w:tcBorders>
            <w:vAlign w:val="center"/>
          </w:tcPr>
          <w:p w:rsidR="00F366FD" w:rsidRPr="00F366FD" w:rsidRDefault="00342FEE" w:rsidP="00F366FD">
            <w:pPr>
              <w:spacing w:after="0" w:line="240" w:lineRule="auto"/>
              <w:rPr>
                <w:rFonts w:ascii="Times New Roman" w:eastAsia="Times New Roman" w:hAnsi="Times New Roman" w:cs="Times New Roman"/>
                <w:i/>
                <w:sz w:val="27"/>
                <w:szCs w:val="27"/>
                <w:lang w:eastAsia="lv-LV"/>
              </w:rPr>
            </w:pPr>
            <w:r w:rsidRPr="004E0DDF">
              <w:rPr>
                <w:rFonts w:ascii="Times New Roman" w:eastAsia="Times New Roman" w:hAnsi="Times New Roman" w:cs="Times New Roman"/>
                <w:color w:val="000000"/>
                <w:sz w:val="25"/>
                <w:szCs w:val="25"/>
              </w:rPr>
              <w:t xml:space="preserve">Komisijas 2013.gada 17.jūlija Regula (ES) Nr.681/2013, ar ko groza II pielikuma III daļu Eiropas Parlamenta un Padomes Direktīvai 2009/48/EK </w:t>
            </w:r>
            <w:r w:rsidRPr="004E0DDF">
              <w:rPr>
                <w:rFonts w:ascii="Times New Roman" w:eastAsia="Times New Roman" w:hAnsi="Times New Roman" w:cs="Times New Roman"/>
                <w:i/>
                <w:color w:val="000000"/>
                <w:sz w:val="25"/>
                <w:szCs w:val="25"/>
              </w:rPr>
              <w:t>par rotaļlietu drošumu</w:t>
            </w:r>
            <w:r w:rsidRPr="004E0DDF">
              <w:rPr>
                <w:rFonts w:ascii="Times New Roman" w:eastAsia="Times New Roman" w:hAnsi="Times New Roman" w:cs="Times New Roman"/>
                <w:color w:val="000000"/>
                <w:sz w:val="25"/>
                <w:szCs w:val="25"/>
              </w:rPr>
              <w:t>.</w:t>
            </w:r>
          </w:p>
        </w:tc>
      </w:tr>
      <w:tr w:rsidR="00F366FD" w:rsidRPr="00F366FD" w:rsidTr="00F366FD">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A</w:t>
            </w:r>
          </w:p>
        </w:tc>
        <w:tc>
          <w:tcPr>
            <w:tcW w:w="2126"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B</w:t>
            </w:r>
          </w:p>
        </w:tc>
        <w:tc>
          <w:tcPr>
            <w:tcW w:w="155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C</w:t>
            </w:r>
          </w:p>
        </w:tc>
        <w:tc>
          <w:tcPr>
            <w:tcW w:w="1985"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D</w:t>
            </w:r>
          </w:p>
        </w:tc>
      </w:tr>
      <w:tr w:rsidR="00F366FD" w:rsidRPr="00F366FD" w:rsidTr="00F366FD">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Pielikums </w:t>
            </w:r>
          </w:p>
        </w:tc>
        <w:tc>
          <w:tcPr>
            <w:tcW w:w="2126"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2.pielikuma</w:t>
            </w:r>
            <w:r w:rsidR="00424EA4" w:rsidRPr="004E0DDF">
              <w:rPr>
                <w:rFonts w:ascii="Times New Roman" w:eastAsia="Times New Roman" w:hAnsi="Times New Roman" w:cs="Times New Roman"/>
                <w:sz w:val="25"/>
                <w:szCs w:val="25"/>
                <w:lang w:eastAsia="lv-LV"/>
              </w:rPr>
              <w:t xml:space="preserve"> III nodaļas 15.punkta tabulas 4.rindas ieraksts par bāriju</w:t>
            </w:r>
          </w:p>
        </w:tc>
        <w:tc>
          <w:tcPr>
            <w:tcW w:w="155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F366FD" w:rsidRPr="00F366FD" w:rsidTr="00F366FD">
        <w:trPr>
          <w:trHeight w:val="281"/>
        </w:trPr>
        <w:tc>
          <w:tcPr>
            <w:tcW w:w="328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5670" w:type="dxa"/>
            <w:gridSpan w:val="3"/>
            <w:tcBorders>
              <w:top w:val="single" w:sz="4" w:space="0" w:color="auto"/>
              <w:left w:val="single" w:sz="4" w:space="0" w:color="auto"/>
              <w:bottom w:val="single" w:sz="4" w:space="0" w:color="auto"/>
              <w:right w:val="single" w:sz="4" w:space="0" w:color="auto"/>
            </w:tcBorders>
          </w:tcPr>
          <w:p w:rsidR="00F366FD" w:rsidRPr="004E0DDF" w:rsidRDefault="00F366FD" w:rsidP="00EE620E">
            <w:pPr>
              <w:spacing w:after="0" w:line="240" w:lineRule="auto"/>
              <w:jc w:val="both"/>
              <w:rPr>
                <w:rFonts w:ascii="Times New Roman" w:eastAsia="Times New Roman" w:hAnsi="Times New Roman" w:cs="Times New Roman"/>
                <w:sz w:val="25"/>
                <w:szCs w:val="25"/>
                <w:lang w:eastAsia="lv-LV"/>
              </w:rPr>
            </w:pPr>
            <w:r w:rsidRPr="004E0DDF">
              <w:rPr>
                <w:rFonts w:ascii="Times New Roman" w:eastAsia="Times New Roman" w:hAnsi="Times New Roman" w:cs="Times New Roman"/>
                <w:iCs/>
                <w:sz w:val="25"/>
                <w:szCs w:val="25"/>
                <w:lang w:eastAsia="lv-LV"/>
              </w:rPr>
              <w:t>Noteikumu projektā iekļautās ES tiesību akta normas neparedz rīcības brīvību dalībvalstīm.</w:t>
            </w:r>
          </w:p>
        </w:tc>
      </w:tr>
      <w:tr w:rsidR="00F366FD" w:rsidRPr="00F366FD" w:rsidTr="00F366FD">
        <w:trPr>
          <w:trHeight w:val="913"/>
        </w:trPr>
        <w:tc>
          <w:tcPr>
            <w:tcW w:w="3289" w:type="dxa"/>
            <w:tcBorders>
              <w:top w:val="single" w:sz="4" w:space="0" w:color="auto"/>
              <w:left w:val="single" w:sz="4" w:space="0" w:color="auto"/>
              <w:bottom w:val="single" w:sz="4" w:space="0" w:color="auto"/>
              <w:right w:val="single" w:sz="4" w:space="0" w:color="auto"/>
            </w:tcBorders>
            <w:vAlign w:val="center"/>
          </w:tcPr>
          <w:p w:rsidR="00F366FD" w:rsidRPr="004E0DDF" w:rsidRDefault="00F366FD" w:rsidP="00F366FD">
            <w:pPr>
              <w:spacing w:after="0" w:line="240" w:lineRule="auto"/>
              <w:rPr>
                <w:rFonts w:ascii="Times New Roman" w:eastAsia="Times New Roman" w:hAnsi="Times New Roman" w:cs="Times New Roman"/>
                <w:i/>
                <w:sz w:val="25"/>
                <w:szCs w:val="25"/>
                <w:lang w:eastAsia="lv-LV"/>
              </w:rPr>
            </w:pPr>
            <w:r w:rsidRPr="004E0DDF">
              <w:rPr>
                <w:rFonts w:ascii="Times New Roman" w:eastAsia="Times New Roman" w:hAnsi="Times New Roman" w:cs="Times New Roman"/>
                <w:sz w:val="25"/>
                <w:szCs w:val="25"/>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4E0DDF">
              <w:rPr>
                <w:rFonts w:ascii="Times New Roman" w:eastAsia="Times New Roman" w:hAnsi="Times New Roman" w:cs="Times New Roman"/>
                <w:sz w:val="25"/>
                <w:szCs w:val="25"/>
                <w:lang w:eastAsia="lv-LV"/>
              </w:rPr>
              <w:lastRenderedPageBreak/>
              <w:t>monetāro politiku) projektiem</w:t>
            </w:r>
          </w:p>
        </w:tc>
        <w:tc>
          <w:tcPr>
            <w:tcW w:w="5670" w:type="dxa"/>
            <w:gridSpan w:val="3"/>
            <w:tcBorders>
              <w:top w:val="single" w:sz="4" w:space="0" w:color="auto"/>
              <w:left w:val="single" w:sz="4" w:space="0" w:color="auto"/>
              <w:bottom w:val="single" w:sz="4" w:space="0" w:color="auto"/>
              <w:right w:val="single" w:sz="4" w:space="0" w:color="auto"/>
            </w:tcBorders>
          </w:tcPr>
          <w:p w:rsidR="00F366FD" w:rsidRPr="004E0DDF" w:rsidRDefault="00F366FD" w:rsidP="00F366FD">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lastRenderedPageBreak/>
              <w:t>Projekts šo jomu neskar.</w:t>
            </w:r>
          </w:p>
        </w:tc>
      </w:tr>
      <w:tr w:rsidR="00F366FD" w:rsidRPr="00F366FD" w:rsidTr="00F366FD">
        <w:trPr>
          <w:trHeight w:val="382"/>
        </w:trPr>
        <w:tc>
          <w:tcPr>
            <w:tcW w:w="3289" w:type="dxa"/>
            <w:tcBorders>
              <w:top w:val="single" w:sz="4" w:space="0" w:color="auto"/>
              <w:left w:val="single" w:sz="4" w:space="0" w:color="auto"/>
              <w:bottom w:val="single" w:sz="4" w:space="0" w:color="auto"/>
              <w:right w:val="single" w:sz="4" w:space="0" w:color="auto"/>
            </w:tcBorders>
          </w:tcPr>
          <w:p w:rsidR="00F366FD" w:rsidRPr="004E0DDF" w:rsidRDefault="00F366FD" w:rsidP="00F366FD">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lastRenderedPageBreak/>
              <w:t>Cita informācija</w:t>
            </w:r>
          </w:p>
        </w:tc>
        <w:tc>
          <w:tcPr>
            <w:tcW w:w="5670" w:type="dxa"/>
            <w:gridSpan w:val="3"/>
            <w:tcBorders>
              <w:top w:val="single" w:sz="4" w:space="0" w:color="auto"/>
              <w:left w:val="single" w:sz="4" w:space="0" w:color="auto"/>
              <w:bottom w:val="single" w:sz="4" w:space="0" w:color="auto"/>
              <w:right w:val="single" w:sz="4" w:space="0" w:color="auto"/>
            </w:tcBorders>
          </w:tcPr>
          <w:p w:rsidR="00F366FD" w:rsidRPr="004E0DDF" w:rsidRDefault="00F366FD" w:rsidP="00F366FD">
            <w:pPr>
              <w:spacing w:after="0" w:line="240" w:lineRule="auto"/>
              <w:jc w:val="both"/>
              <w:rPr>
                <w:rFonts w:ascii="Times New Roman" w:eastAsia="Times New Roman" w:hAnsi="Times New Roman" w:cs="Times New Roman"/>
                <w:i/>
                <w:sz w:val="25"/>
                <w:szCs w:val="25"/>
                <w:lang w:eastAsia="lv-LV"/>
              </w:rPr>
            </w:pPr>
            <w:r w:rsidRPr="004E0DDF">
              <w:rPr>
                <w:rFonts w:ascii="Times New Roman" w:eastAsia="Times New Roman" w:hAnsi="Times New Roman" w:cs="Times New Roman"/>
                <w:sz w:val="25"/>
                <w:szCs w:val="25"/>
                <w:lang w:eastAsia="lv-LV"/>
              </w:rPr>
              <w:t>Nav</w:t>
            </w:r>
          </w:p>
        </w:tc>
      </w:tr>
      <w:tr w:rsidR="00342FEE" w:rsidRPr="00F366FD" w:rsidTr="00AD1B12">
        <w:trPr>
          <w:trHeight w:val="163"/>
        </w:trPr>
        <w:tc>
          <w:tcPr>
            <w:tcW w:w="8959" w:type="dxa"/>
            <w:gridSpan w:val="4"/>
            <w:tcBorders>
              <w:top w:val="single" w:sz="4" w:space="0" w:color="auto"/>
              <w:left w:val="single" w:sz="4" w:space="0" w:color="auto"/>
              <w:bottom w:val="single" w:sz="4" w:space="0" w:color="auto"/>
              <w:right w:val="single" w:sz="4" w:space="0" w:color="auto"/>
            </w:tcBorders>
            <w:vAlign w:val="center"/>
          </w:tcPr>
          <w:p w:rsidR="00342FEE" w:rsidRPr="00F366FD" w:rsidRDefault="00342FEE" w:rsidP="00AD1B12">
            <w:pPr>
              <w:spacing w:after="0" w:line="240" w:lineRule="auto"/>
              <w:rPr>
                <w:rFonts w:ascii="Times New Roman" w:eastAsia="Times New Roman" w:hAnsi="Times New Roman" w:cs="Times New Roman"/>
                <w:i/>
                <w:sz w:val="27"/>
                <w:szCs w:val="27"/>
                <w:lang w:eastAsia="lv-LV"/>
              </w:rPr>
            </w:pPr>
            <w:r w:rsidRPr="00342FEE">
              <w:rPr>
                <w:rFonts w:ascii="Times New Roman" w:eastAsia="Times New Roman" w:hAnsi="Times New Roman" w:cs="Times New Roman"/>
                <w:color w:val="000000"/>
                <w:sz w:val="25"/>
                <w:szCs w:val="25"/>
              </w:rPr>
              <w:t>Eiropas Parlamenta un Padomes 2009.gada 18.jūnija direktīva 2009/48/EK par rotaļlietu drošumu</w:t>
            </w:r>
            <w:r>
              <w:rPr>
                <w:rFonts w:ascii="Times New Roman" w:eastAsia="Times New Roman" w:hAnsi="Times New Roman" w:cs="Times New Roman"/>
                <w:color w:val="000000"/>
                <w:sz w:val="25"/>
                <w:szCs w:val="25"/>
              </w:rPr>
              <w:t>.</w:t>
            </w:r>
          </w:p>
        </w:tc>
      </w:tr>
      <w:tr w:rsidR="00342FEE"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A</w:t>
            </w:r>
          </w:p>
        </w:tc>
        <w:tc>
          <w:tcPr>
            <w:tcW w:w="2126"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B</w:t>
            </w:r>
          </w:p>
        </w:tc>
        <w:tc>
          <w:tcPr>
            <w:tcW w:w="1559"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C</w:t>
            </w:r>
          </w:p>
        </w:tc>
        <w:tc>
          <w:tcPr>
            <w:tcW w:w="1985"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D</w:t>
            </w:r>
          </w:p>
        </w:tc>
      </w:tr>
      <w:tr w:rsidR="00342FEE"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342FEE"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3.panta 3.punkts</w:t>
            </w:r>
          </w:p>
        </w:tc>
        <w:tc>
          <w:tcPr>
            <w:tcW w:w="2126" w:type="dxa"/>
            <w:tcBorders>
              <w:top w:val="single" w:sz="4" w:space="0" w:color="auto"/>
              <w:left w:val="single" w:sz="4" w:space="0" w:color="auto"/>
              <w:bottom w:val="single" w:sz="4" w:space="0" w:color="auto"/>
              <w:right w:val="single" w:sz="4" w:space="0" w:color="auto"/>
            </w:tcBorders>
            <w:vAlign w:val="center"/>
          </w:tcPr>
          <w:p w:rsidR="00342FEE" w:rsidRPr="004E0DDF" w:rsidRDefault="006F0D31" w:rsidP="007F4458">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w:t>
            </w:r>
            <w:r w:rsidR="007F4458">
              <w:rPr>
                <w:rFonts w:ascii="Times New Roman" w:eastAsia="Times New Roman" w:hAnsi="Times New Roman" w:cs="Times New Roman"/>
                <w:sz w:val="25"/>
                <w:szCs w:val="25"/>
                <w:lang w:eastAsia="lv-LV"/>
              </w:rPr>
              <w:t>3</w:t>
            </w:r>
            <w:r>
              <w:rPr>
                <w:rFonts w:ascii="Times New Roman" w:eastAsia="Times New Roman" w:hAnsi="Times New Roman" w:cs="Times New Roman"/>
                <w:sz w:val="25"/>
                <w:szCs w:val="25"/>
                <w:lang w:eastAsia="lv-LV"/>
              </w:rPr>
              <w:t>.apakšpunkts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342FEE" w:rsidRPr="004E0DDF" w:rsidRDefault="00342FEE"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18.pants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6F0D31">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12.1.apakšpunkts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4.panta 4.punkts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12.6.apakšpunkts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4.panta 8.punkts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12.10.apakšpunkts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DE7D3C"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DE7D3C" w:rsidRDefault="00DE7D3C"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4.panta 9.punkts</w:t>
            </w:r>
          </w:p>
        </w:tc>
        <w:tc>
          <w:tcPr>
            <w:tcW w:w="2126" w:type="dxa"/>
            <w:tcBorders>
              <w:top w:val="single" w:sz="4" w:space="0" w:color="auto"/>
              <w:left w:val="single" w:sz="4" w:space="0" w:color="auto"/>
              <w:bottom w:val="single" w:sz="4" w:space="0" w:color="auto"/>
              <w:right w:val="single" w:sz="4" w:space="0" w:color="auto"/>
            </w:tcBorders>
            <w:vAlign w:val="center"/>
          </w:tcPr>
          <w:p w:rsidR="00DE7D3C" w:rsidRDefault="00DE7D3C"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12.12.apakšpunkts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DE7D3C" w:rsidRPr="004E0DDF" w:rsidRDefault="00DE7D3C"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DE7D3C" w:rsidRPr="004E0DDF" w:rsidRDefault="00DE7D3C"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C929C9"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C929C9" w:rsidRDefault="00C929C9"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5.panta 3.punkta c)apakšpunkts</w:t>
            </w:r>
          </w:p>
        </w:tc>
        <w:tc>
          <w:tcPr>
            <w:tcW w:w="2126" w:type="dxa"/>
            <w:tcBorders>
              <w:top w:val="single" w:sz="4" w:space="0" w:color="auto"/>
              <w:left w:val="single" w:sz="4" w:space="0" w:color="auto"/>
              <w:bottom w:val="single" w:sz="4" w:space="0" w:color="auto"/>
              <w:right w:val="single" w:sz="4" w:space="0" w:color="auto"/>
            </w:tcBorders>
            <w:vAlign w:val="center"/>
          </w:tcPr>
          <w:p w:rsidR="00C929C9" w:rsidRDefault="00C929C9"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14.3.apakšpunkts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6.panta 2.punkts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16.3.apakšpunkts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6.panta 7.punkts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16.8. 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DE7D3C"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6.panta 9.punkts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16.10. 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DE7D3C"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7.panta 2.punkts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18.2. 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C929C9"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C929C9" w:rsidRDefault="00C929C9"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7.panta 5.punkts</w:t>
            </w:r>
          </w:p>
        </w:tc>
        <w:tc>
          <w:tcPr>
            <w:tcW w:w="2126" w:type="dxa"/>
            <w:tcBorders>
              <w:top w:val="single" w:sz="4" w:space="0" w:color="auto"/>
              <w:left w:val="single" w:sz="4" w:space="0" w:color="auto"/>
              <w:bottom w:val="single" w:sz="4" w:space="0" w:color="auto"/>
              <w:right w:val="single" w:sz="4" w:space="0" w:color="auto"/>
            </w:tcBorders>
            <w:vAlign w:val="center"/>
          </w:tcPr>
          <w:p w:rsidR="00C929C9" w:rsidRDefault="00C929C9"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18.5.apakšpunkts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DE7D3C"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7.panta 4.punkts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18.4. 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C929C9"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C929C9" w:rsidRDefault="00C929C9"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21.panta 3.punkts</w:t>
            </w:r>
          </w:p>
        </w:tc>
        <w:tc>
          <w:tcPr>
            <w:tcW w:w="2126" w:type="dxa"/>
            <w:tcBorders>
              <w:top w:val="single" w:sz="4" w:space="0" w:color="auto"/>
              <w:left w:val="single" w:sz="4" w:space="0" w:color="auto"/>
              <w:bottom w:val="single" w:sz="4" w:space="0" w:color="auto"/>
              <w:right w:val="single" w:sz="4" w:space="0" w:color="auto"/>
            </w:tcBorders>
            <w:vAlign w:val="center"/>
          </w:tcPr>
          <w:p w:rsidR="00C929C9" w:rsidRDefault="00C929C9"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23.punkts</w:t>
            </w:r>
          </w:p>
        </w:tc>
        <w:tc>
          <w:tcPr>
            <w:tcW w:w="1559"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Ieviests </w:t>
            </w:r>
            <w:r w:rsidRPr="004E0DDF">
              <w:rPr>
                <w:rFonts w:ascii="Times New Roman" w:eastAsia="Times New Roman" w:hAnsi="Times New Roman" w:cs="Times New Roman"/>
                <w:sz w:val="25"/>
                <w:szCs w:val="25"/>
                <w:lang w:eastAsia="lv-LV"/>
              </w:rPr>
              <w:lastRenderedPageBreak/>
              <w:t>pilnībā.</w:t>
            </w:r>
          </w:p>
        </w:tc>
        <w:tc>
          <w:tcPr>
            <w:tcW w:w="1985" w:type="dxa"/>
            <w:tcBorders>
              <w:top w:val="single" w:sz="4" w:space="0" w:color="auto"/>
              <w:left w:val="single" w:sz="4" w:space="0" w:color="auto"/>
              <w:bottom w:val="single" w:sz="4" w:space="0" w:color="auto"/>
              <w:right w:val="single" w:sz="4" w:space="0" w:color="auto"/>
            </w:tcBorders>
            <w:vAlign w:val="center"/>
          </w:tcPr>
          <w:p w:rsidR="00C929C9" w:rsidRPr="004E0DDF" w:rsidRDefault="00C929C9"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lastRenderedPageBreak/>
              <w:t xml:space="preserve">Stingrākas </w:t>
            </w:r>
            <w:r w:rsidRPr="004E0DDF">
              <w:rPr>
                <w:rFonts w:ascii="Times New Roman" w:eastAsia="Times New Roman" w:hAnsi="Times New Roman" w:cs="Times New Roman"/>
                <w:sz w:val="25"/>
                <w:szCs w:val="25"/>
                <w:lang w:eastAsia="lv-LV"/>
              </w:rPr>
              <w:lastRenderedPageBreak/>
              <w:t xml:space="preserve">prasības nav paredzētas.  </w:t>
            </w:r>
          </w:p>
        </w:tc>
      </w:tr>
      <w:tr w:rsidR="009D53B7"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9D53B7" w:rsidRDefault="009D53B7"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lastRenderedPageBreak/>
              <w:t>21.panta 3.punkts</w:t>
            </w:r>
          </w:p>
        </w:tc>
        <w:tc>
          <w:tcPr>
            <w:tcW w:w="2126" w:type="dxa"/>
            <w:tcBorders>
              <w:top w:val="single" w:sz="4" w:space="0" w:color="auto"/>
              <w:left w:val="single" w:sz="4" w:space="0" w:color="auto"/>
              <w:bottom w:val="single" w:sz="4" w:space="0" w:color="auto"/>
              <w:right w:val="single" w:sz="4" w:space="0" w:color="auto"/>
            </w:tcBorders>
            <w:vAlign w:val="center"/>
          </w:tcPr>
          <w:p w:rsidR="009D53B7" w:rsidRDefault="009D53B7"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73.3.apakšpunkts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9D53B7" w:rsidRPr="004E0DDF" w:rsidRDefault="009D53B7"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9D53B7" w:rsidRPr="004E0DDF" w:rsidRDefault="009D53B7"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9D53B7"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9D53B7" w:rsidRDefault="009D53B7"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21.panta 4.punkts</w:t>
            </w:r>
          </w:p>
        </w:tc>
        <w:tc>
          <w:tcPr>
            <w:tcW w:w="2126" w:type="dxa"/>
            <w:tcBorders>
              <w:top w:val="single" w:sz="4" w:space="0" w:color="auto"/>
              <w:left w:val="single" w:sz="4" w:space="0" w:color="auto"/>
              <w:bottom w:val="single" w:sz="4" w:space="0" w:color="auto"/>
              <w:right w:val="single" w:sz="4" w:space="0" w:color="auto"/>
            </w:tcBorders>
            <w:vAlign w:val="center"/>
          </w:tcPr>
          <w:p w:rsidR="009D53B7" w:rsidRDefault="009D53B7"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73.6.apakšpunkts</w:t>
            </w:r>
          </w:p>
        </w:tc>
        <w:tc>
          <w:tcPr>
            <w:tcW w:w="1559" w:type="dxa"/>
            <w:tcBorders>
              <w:top w:val="single" w:sz="4" w:space="0" w:color="auto"/>
              <w:left w:val="single" w:sz="4" w:space="0" w:color="auto"/>
              <w:bottom w:val="single" w:sz="4" w:space="0" w:color="auto"/>
              <w:right w:val="single" w:sz="4" w:space="0" w:color="auto"/>
            </w:tcBorders>
            <w:vAlign w:val="center"/>
          </w:tcPr>
          <w:p w:rsidR="009D53B7" w:rsidRPr="004E0DDF" w:rsidRDefault="009D53B7"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9D53B7" w:rsidRPr="004E0DDF" w:rsidRDefault="009D53B7"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165"/>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DE7D3C" w:rsidP="00AD1B12">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2.pielikuma III.nodaļas1.punkts</w:t>
            </w:r>
          </w:p>
        </w:tc>
        <w:tc>
          <w:tcPr>
            <w:tcW w:w="2126" w:type="dxa"/>
            <w:tcBorders>
              <w:top w:val="single" w:sz="4" w:space="0" w:color="auto"/>
              <w:left w:val="single" w:sz="4" w:space="0" w:color="auto"/>
              <w:bottom w:val="single" w:sz="4" w:space="0" w:color="auto"/>
              <w:right w:val="single" w:sz="4" w:space="0" w:color="auto"/>
            </w:tcBorders>
            <w:vAlign w:val="center"/>
          </w:tcPr>
          <w:p w:rsidR="006F0D31" w:rsidRDefault="006F0D31" w:rsidP="00342FEE">
            <w:pPr>
              <w:spacing w:after="0" w:line="240" w:lineRule="auto"/>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 xml:space="preserve">2.pielikuma </w:t>
            </w:r>
            <w:proofErr w:type="spellStart"/>
            <w:r>
              <w:rPr>
                <w:rFonts w:ascii="Times New Roman" w:eastAsia="Times New Roman" w:hAnsi="Times New Roman" w:cs="Times New Roman"/>
                <w:sz w:val="25"/>
                <w:szCs w:val="25"/>
                <w:lang w:eastAsia="lv-LV"/>
              </w:rPr>
              <w:t>III</w:t>
            </w:r>
            <w:r w:rsidR="00DE7D3C">
              <w:rPr>
                <w:rFonts w:ascii="Times New Roman" w:eastAsia="Times New Roman" w:hAnsi="Times New Roman" w:cs="Times New Roman"/>
                <w:sz w:val="25"/>
                <w:szCs w:val="25"/>
                <w:lang w:eastAsia="lv-LV"/>
              </w:rPr>
              <w:t>.</w:t>
            </w:r>
            <w:r>
              <w:rPr>
                <w:rFonts w:ascii="Times New Roman" w:eastAsia="Times New Roman" w:hAnsi="Times New Roman" w:cs="Times New Roman"/>
                <w:sz w:val="25"/>
                <w:szCs w:val="25"/>
                <w:lang w:eastAsia="lv-LV"/>
              </w:rPr>
              <w:t>nodaļas</w:t>
            </w:r>
            <w:proofErr w:type="spellEnd"/>
            <w:r>
              <w:rPr>
                <w:rFonts w:ascii="Times New Roman" w:eastAsia="Times New Roman" w:hAnsi="Times New Roman" w:cs="Times New Roman"/>
                <w:sz w:val="25"/>
                <w:szCs w:val="25"/>
                <w:lang w:eastAsia="lv-LV"/>
              </w:rPr>
              <w:t xml:space="preserve"> 1.punkts</w:t>
            </w:r>
          </w:p>
        </w:tc>
        <w:tc>
          <w:tcPr>
            <w:tcW w:w="155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Ieviests pilnībā.</w:t>
            </w:r>
          </w:p>
        </w:tc>
        <w:tc>
          <w:tcPr>
            <w:tcW w:w="1985"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jc w:val="center"/>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 xml:space="preserve">Stingrākas prasības nav paredzētas.  </w:t>
            </w:r>
          </w:p>
        </w:tc>
      </w:tr>
      <w:tr w:rsidR="006F0D31" w:rsidRPr="00F366FD" w:rsidTr="00AD1B12">
        <w:trPr>
          <w:trHeight w:val="281"/>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Kā ir izmantota ES tiesību aktā paredzētā rīcības brīvība dalībvalstij pārņemt vai ieviest noteiktas ES tiesību akta normas.</w:t>
            </w:r>
          </w:p>
        </w:tc>
        <w:tc>
          <w:tcPr>
            <w:tcW w:w="5670" w:type="dxa"/>
            <w:gridSpan w:val="3"/>
            <w:tcBorders>
              <w:top w:val="single" w:sz="4" w:space="0" w:color="auto"/>
              <w:left w:val="single" w:sz="4" w:space="0" w:color="auto"/>
              <w:bottom w:val="single" w:sz="4" w:space="0" w:color="auto"/>
              <w:right w:val="single" w:sz="4" w:space="0" w:color="auto"/>
            </w:tcBorders>
          </w:tcPr>
          <w:p w:rsidR="006F0D31" w:rsidRPr="004E0DDF" w:rsidRDefault="006F0D31" w:rsidP="00AD1B12">
            <w:pPr>
              <w:spacing w:after="0" w:line="240" w:lineRule="auto"/>
              <w:jc w:val="both"/>
              <w:rPr>
                <w:rFonts w:ascii="Times New Roman" w:eastAsia="Times New Roman" w:hAnsi="Times New Roman" w:cs="Times New Roman"/>
                <w:sz w:val="25"/>
                <w:szCs w:val="25"/>
                <w:lang w:eastAsia="lv-LV"/>
              </w:rPr>
            </w:pPr>
            <w:r w:rsidRPr="004E0DDF">
              <w:rPr>
                <w:rFonts w:ascii="Times New Roman" w:eastAsia="Times New Roman" w:hAnsi="Times New Roman" w:cs="Times New Roman"/>
                <w:iCs/>
                <w:sz w:val="25"/>
                <w:szCs w:val="25"/>
                <w:lang w:eastAsia="lv-LV"/>
              </w:rPr>
              <w:t>Noteikumu projektā iekļautās ES tiesību akta normas neparedz rīcības brīvību dalībvalstīm.</w:t>
            </w:r>
          </w:p>
        </w:tc>
      </w:tr>
      <w:tr w:rsidR="006F0D31" w:rsidRPr="00F366FD" w:rsidTr="00AD1B12">
        <w:trPr>
          <w:trHeight w:val="913"/>
        </w:trPr>
        <w:tc>
          <w:tcPr>
            <w:tcW w:w="3289" w:type="dxa"/>
            <w:tcBorders>
              <w:top w:val="single" w:sz="4" w:space="0" w:color="auto"/>
              <w:left w:val="single" w:sz="4" w:space="0" w:color="auto"/>
              <w:bottom w:val="single" w:sz="4" w:space="0" w:color="auto"/>
              <w:right w:val="single" w:sz="4" w:space="0" w:color="auto"/>
            </w:tcBorders>
            <w:vAlign w:val="center"/>
          </w:tcPr>
          <w:p w:rsidR="006F0D31" w:rsidRPr="004E0DDF" w:rsidRDefault="006F0D31" w:rsidP="00AD1B12">
            <w:pPr>
              <w:spacing w:after="0" w:line="240" w:lineRule="auto"/>
              <w:rPr>
                <w:rFonts w:ascii="Times New Roman" w:eastAsia="Times New Roman" w:hAnsi="Times New Roman" w:cs="Times New Roman"/>
                <w:i/>
                <w:sz w:val="25"/>
                <w:szCs w:val="25"/>
                <w:lang w:eastAsia="lv-LV"/>
              </w:rPr>
            </w:pPr>
            <w:r w:rsidRPr="004E0DDF">
              <w:rPr>
                <w:rFonts w:ascii="Times New Roman" w:eastAsia="Times New Roman" w:hAnsi="Times New Roman" w:cs="Times New Roman"/>
                <w:sz w:val="25"/>
                <w:szCs w:val="25"/>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70" w:type="dxa"/>
            <w:gridSpan w:val="3"/>
            <w:tcBorders>
              <w:top w:val="single" w:sz="4" w:space="0" w:color="auto"/>
              <w:left w:val="single" w:sz="4" w:space="0" w:color="auto"/>
              <w:bottom w:val="single" w:sz="4" w:space="0" w:color="auto"/>
              <w:right w:val="single" w:sz="4" w:space="0" w:color="auto"/>
            </w:tcBorders>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Projekts šo jomu neskar.</w:t>
            </w:r>
          </w:p>
        </w:tc>
      </w:tr>
      <w:tr w:rsidR="006F0D31" w:rsidRPr="00F366FD" w:rsidTr="00AD1B12">
        <w:trPr>
          <w:trHeight w:val="382"/>
        </w:trPr>
        <w:tc>
          <w:tcPr>
            <w:tcW w:w="3289" w:type="dxa"/>
            <w:tcBorders>
              <w:top w:val="single" w:sz="4" w:space="0" w:color="auto"/>
              <w:left w:val="single" w:sz="4" w:space="0" w:color="auto"/>
              <w:bottom w:val="single" w:sz="4" w:space="0" w:color="auto"/>
              <w:right w:val="single" w:sz="4" w:space="0" w:color="auto"/>
            </w:tcBorders>
          </w:tcPr>
          <w:p w:rsidR="006F0D31" w:rsidRPr="004E0DDF" w:rsidRDefault="006F0D31" w:rsidP="00AD1B12">
            <w:pPr>
              <w:spacing w:after="0" w:line="240" w:lineRule="auto"/>
              <w:rPr>
                <w:rFonts w:ascii="Times New Roman" w:eastAsia="Times New Roman" w:hAnsi="Times New Roman" w:cs="Times New Roman"/>
                <w:sz w:val="25"/>
                <w:szCs w:val="25"/>
                <w:lang w:eastAsia="lv-LV"/>
              </w:rPr>
            </w:pPr>
            <w:r w:rsidRPr="004E0DDF">
              <w:rPr>
                <w:rFonts w:ascii="Times New Roman" w:eastAsia="Times New Roman" w:hAnsi="Times New Roman" w:cs="Times New Roman"/>
                <w:sz w:val="25"/>
                <w:szCs w:val="25"/>
                <w:lang w:eastAsia="lv-LV"/>
              </w:rPr>
              <w:t>Cita informācija</w:t>
            </w:r>
          </w:p>
        </w:tc>
        <w:tc>
          <w:tcPr>
            <w:tcW w:w="5670" w:type="dxa"/>
            <w:gridSpan w:val="3"/>
            <w:tcBorders>
              <w:top w:val="single" w:sz="4" w:space="0" w:color="auto"/>
              <w:left w:val="single" w:sz="4" w:space="0" w:color="auto"/>
              <w:bottom w:val="single" w:sz="4" w:space="0" w:color="auto"/>
              <w:right w:val="single" w:sz="4" w:space="0" w:color="auto"/>
            </w:tcBorders>
          </w:tcPr>
          <w:p w:rsidR="006F0D31" w:rsidRPr="004E0DDF" w:rsidRDefault="006F0D31" w:rsidP="00AD1B12">
            <w:pPr>
              <w:spacing w:after="0" w:line="240" w:lineRule="auto"/>
              <w:jc w:val="both"/>
              <w:rPr>
                <w:rFonts w:ascii="Times New Roman" w:eastAsia="Times New Roman" w:hAnsi="Times New Roman" w:cs="Times New Roman"/>
                <w:i/>
                <w:sz w:val="25"/>
                <w:szCs w:val="25"/>
                <w:lang w:eastAsia="lv-LV"/>
              </w:rPr>
            </w:pPr>
            <w:r w:rsidRPr="004E0DDF">
              <w:rPr>
                <w:rFonts w:ascii="Times New Roman" w:eastAsia="Times New Roman" w:hAnsi="Times New Roman" w:cs="Times New Roman"/>
                <w:sz w:val="25"/>
                <w:szCs w:val="25"/>
                <w:lang w:eastAsia="lv-LV"/>
              </w:rPr>
              <w:t>Nav</w:t>
            </w:r>
          </w:p>
        </w:tc>
      </w:tr>
    </w:tbl>
    <w:p w:rsidR="00F366FD" w:rsidRDefault="00F366FD" w:rsidP="00F366FD">
      <w:pPr>
        <w:spacing w:after="0" w:line="240" w:lineRule="auto"/>
        <w:rPr>
          <w:rFonts w:ascii="Times New Roman" w:eastAsia="Calibri" w:hAnsi="Times New Roman" w:cs="Times New Roman"/>
          <w:color w:val="000000"/>
          <w:highlight w:val="yellow"/>
        </w:rPr>
      </w:pPr>
    </w:p>
    <w:p w:rsidR="00F366FD" w:rsidRPr="001A7364" w:rsidRDefault="00F366FD" w:rsidP="00F366FD">
      <w:pPr>
        <w:spacing w:after="0" w:line="240" w:lineRule="auto"/>
        <w:rPr>
          <w:rFonts w:ascii="Times New Roman" w:eastAsia="Calibri" w:hAnsi="Times New Roman" w:cs="Times New Roman"/>
          <w:vanish/>
          <w:color w:val="000000"/>
          <w:highlight w:val="yellow"/>
        </w:rPr>
      </w:pPr>
    </w:p>
    <w:p w:rsidR="007730EB" w:rsidRPr="001A7364" w:rsidRDefault="007730EB" w:rsidP="00F366FD">
      <w:pPr>
        <w:spacing w:after="0" w:line="240" w:lineRule="auto"/>
        <w:rPr>
          <w:rFonts w:ascii="Times New Roman" w:eastAsia="Times New Roman" w:hAnsi="Times New Roman" w:cs="Times New Roman"/>
          <w:color w:val="000000"/>
          <w:sz w:val="24"/>
          <w:szCs w:val="24"/>
          <w:highlight w:val="yellow"/>
          <w:lang w:eastAsia="lv-LV"/>
        </w:rPr>
      </w:pPr>
    </w:p>
    <w:tbl>
      <w:tblPr>
        <w:tblW w:w="5000"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2"/>
        <w:gridCol w:w="2481"/>
        <w:gridCol w:w="5869"/>
      </w:tblGrid>
      <w:tr w:rsidR="007730EB" w:rsidRPr="00B6553A" w:rsidTr="002233B6">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7730EB" w:rsidRPr="00B6553A" w:rsidRDefault="00E4061F" w:rsidP="00F366FD">
            <w:pPr>
              <w:spacing w:after="0" w:line="240" w:lineRule="auto"/>
              <w:jc w:val="center"/>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VI. Sabiedrības līdzdalība </w:t>
            </w:r>
            <w:r w:rsidR="007730EB" w:rsidRPr="00B6553A">
              <w:rPr>
                <w:rFonts w:ascii="Times New Roman" w:eastAsia="Times New Roman" w:hAnsi="Times New Roman" w:cs="Times New Roman"/>
                <w:b/>
                <w:bCs/>
                <w:color w:val="000000"/>
                <w:sz w:val="28"/>
                <w:szCs w:val="28"/>
              </w:rPr>
              <w:t>un komunikācijas aktivitātes</w:t>
            </w:r>
          </w:p>
        </w:tc>
      </w:tr>
      <w:tr w:rsidR="007730EB" w:rsidRPr="00B6553A" w:rsidTr="0022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5" w:type="pct"/>
          </w:tcPr>
          <w:p w:rsidR="007730EB" w:rsidRPr="004E0DDF" w:rsidRDefault="007730EB" w:rsidP="00014187">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1.</w:t>
            </w:r>
          </w:p>
        </w:tc>
        <w:tc>
          <w:tcPr>
            <w:tcW w:w="139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Plānotās sabiedrības līdzdalības un komunikācijas aktivitātes saistībā ar projektu</w:t>
            </w:r>
          </w:p>
        </w:tc>
        <w:tc>
          <w:tcPr>
            <w:tcW w:w="3297" w:type="pct"/>
          </w:tcPr>
          <w:p w:rsidR="007730EB" w:rsidRPr="004E0DDF" w:rsidRDefault="007730EB" w:rsidP="00B50509">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 xml:space="preserve">   </w:t>
            </w:r>
            <w:r w:rsidR="003A45F9" w:rsidRPr="004E0DDF">
              <w:rPr>
                <w:rFonts w:ascii="Times New Roman" w:eastAsia="Times New Roman" w:hAnsi="Times New Roman" w:cs="Times New Roman"/>
                <w:color w:val="000000"/>
                <w:sz w:val="25"/>
                <w:szCs w:val="25"/>
              </w:rPr>
              <w:t>Noteikumu projekts tik</w:t>
            </w:r>
            <w:r w:rsidR="00B50509">
              <w:rPr>
                <w:rFonts w:ascii="Times New Roman" w:eastAsia="Times New Roman" w:hAnsi="Times New Roman" w:cs="Times New Roman"/>
                <w:color w:val="000000"/>
                <w:sz w:val="25"/>
                <w:szCs w:val="25"/>
              </w:rPr>
              <w:t>a</w:t>
            </w:r>
            <w:r w:rsidR="003A45F9" w:rsidRPr="004E0DDF">
              <w:rPr>
                <w:rFonts w:ascii="Times New Roman" w:eastAsia="Times New Roman" w:hAnsi="Times New Roman" w:cs="Times New Roman"/>
                <w:color w:val="000000"/>
                <w:sz w:val="25"/>
                <w:szCs w:val="25"/>
              </w:rPr>
              <w:t xml:space="preserve"> ievietots Ekonomikas ministrijas mājas lapā </w:t>
            </w:r>
            <w:proofErr w:type="spellStart"/>
            <w:r w:rsidR="003A45F9" w:rsidRPr="004E0DDF">
              <w:rPr>
                <w:rFonts w:ascii="Times New Roman" w:eastAsia="Times New Roman" w:hAnsi="Times New Roman" w:cs="Times New Roman"/>
                <w:color w:val="000000"/>
                <w:sz w:val="25"/>
                <w:szCs w:val="25"/>
              </w:rPr>
              <w:t>www.em.gov.lv</w:t>
            </w:r>
            <w:proofErr w:type="spellEnd"/>
            <w:r w:rsidR="003A45F9" w:rsidRPr="004E0DDF">
              <w:rPr>
                <w:rFonts w:ascii="Times New Roman" w:eastAsia="Times New Roman" w:hAnsi="Times New Roman" w:cs="Times New Roman"/>
                <w:color w:val="000000"/>
                <w:sz w:val="25"/>
                <w:szCs w:val="25"/>
              </w:rPr>
              <w:t>.</w:t>
            </w:r>
          </w:p>
        </w:tc>
      </w:tr>
      <w:tr w:rsidR="007730EB" w:rsidRPr="00B6553A" w:rsidTr="0022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5" w:type="pct"/>
          </w:tcPr>
          <w:p w:rsidR="007730EB" w:rsidRPr="004E0DDF" w:rsidRDefault="007730EB" w:rsidP="00014187">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2.</w:t>
            </w:r>
          </w:p>
        </w:tc>
        <w:tc>
          <w:tcPr>
            <w:tcW w:w="1395" w:type="pct"/>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Sabiedrības līdzdalība projekta izstrādē</w:t>
            </w:r>
          </w:p>
        </w:tc>
        <w:tc>
          <w:tcPr>
            <w:tcW w:w="3297" w:type="pct"/>
          </w:tcPr>
          <w:p w:rsidR="007730EB" w:rsidRPr="004E0DDF" w:rsidRDefault="00F36491" w:rsidP="002233B6">
            <w:pPr>
              <w:spacing w:after="0" w:line="240" w:lineRule="auto"/>
              <w:ind w:firstLine="127"/>
              <w:jc w:val="both"/>
              <w:rPr>
                <w:rFonts w:ascii="Times New Roman" w:eastAsia="Times New Roman" w:hAnsi="Times New Roman" w:cs="Times New Roman"/>
                <w:color w:val="000000"/>
                <w:sz w:val="25"/>
                <w:szCs w:val="25"/>
                <w:highlight w:val="yellow"/>
                <w:lang w:eastAsia="lv-LV"/>
              </w:rPr>
            </w:pPr>
            <w:r w:rsidRPr="004E0DDF">
              <w:rPr>
                <w:rFonts w:ascii="Times New Roman" w:hAnsi="Times New Roman" w:cs="Times New Roman"/>
                <w:sz w:val="25"/>
                <w:szCs w:val="25"/>
              </w:rPr>
              <w:t>Noteikumu projekts tik</w:t>
            </w:r>
            <w:r w:rsidR="00B50509">
              <w:rPr>
                <w:rFonts w:ascii="Times New Roman" w:hAnsi="Times New Roman" w:cs="Times New Roman"/>
                <w:sz w:val="25"/>
                <w:szCs w:val="25"/>
              </w:rPr>
              <w:t>a</w:t>
            </w:r>
            <w:r w:rsidRPr="004E0DDF">
              <w:rPr>
                <w:rFonts w:ascii="Times New Roman" w:hAnsi="Times New Roman" w:cs="Times New Roman"/>
                <w:sz w:val="25"/>
                <w:szCs w:val="25"/>
              </w:rPr>
              <w:t xml:space="preserve"> nosūtīts saskaņošanai</w:t>
            </w:r>
            <w:r w:rsidR="0089324F">
              <w:rPr>
                <w:rFonts w:ascii="Times New Roman" w:hAnsi="Times New Roman" w:cs="Times New Roman"/>
                <w:sz w:val="25"/>
                <w:szCs w:val="25"/>
              </w:rPr>
              <w:t xml:space="preserve"> </w:t>
            </w:r>
            <w:r w:rsidRPr="004E0DDF">
              <w:rPr>
                <w:rFonts w:ascii="Times New Roman" w:hAnsi="Times New Roman" w:cs="Times New Roman"/>
                <w:sz w:val="25"/>
                <w:szCs w:val="25"/>
              </w:rPr>
              <w:t>Latvijas Darba devēju konfederācijai</w:t>
            </w:r>
            <w:r w:rsidRPr="004E0DDF">
              <w:rPr>
                <w:rFonts w:ascii="Times New Roman" w:hAnsi="Times New Roman" w:cs="Times New Roman"/>
                <w:b/>
                <w:sz w:val="25"/>
                <w:szCs w:val="25"/>
              </w:rPr>
              <w:t xml:space="preserve">, </w:t>
            </w:r>
            <w:r w:rsidRPr="004E0DDF">
              <w:rPr>
                <w:rFonts w:ascii="Times New Roman" w:hAnsi="Times New Roman" w:cs="Times New Roman"/>
                <w:sz w:val="25"/>
                <w:szCs w:val="25"/>
              </w:rPr>
              <w:t>Latvijas tirdzniecības un rūpniecības kamerai</w:t>
            </w:r>
            <w:r w:rsidRPr="004E0DDF">
              <w:rPr>
                <w:rFonts w:ascii="Times New Roman" w:hAnsi="Times New Roman" w:cs="Times New Roman"/>
                <w:b/>
                <w:sz w:val="25"/>
                <w:szCs w:val="25"/>
              </w:rPr>
              <w:t xml:space="preserve">, </w:t>
            </w:r>
            <w:r w:rsidRPr="004E0DDF">
              <w:rPr>
                <w:rFonts w:ascii="Times New Roman" w:hAnsi="Times New Roman" w:cs="Times New Roman"/>
                <w:sz w:val="25"/>
                <w:szCs w:val="25"/>
              </w:rPr>
              <w:t>Latvijas Tirgotāju asociācijai</w:t>
            </w:r>
            <w:r w:rsidRPr="004E0DDF">
              <w:rPr>
                <w:rFonts w:ascii="Times New Roman" w:hAnsi="Times New Roman" w:cs="Times New Roman"/>
                <w:b/>
                <w:sz w:val="25"/>
                <w:szCs w:val="25"/>
              </w:rPr>
              <w:t xml:space="preserve">, </w:t>
            </w:r>
            <w:r w:rsidRPr="004E0DDF">
              <w:rPr>
                <w:rFonts w:ascii="Times New Roman" w:hAnsi="Times New Roman" w:cs="Times New Roman"/>
                <w:sz w:val="25"/>
                <w:szCs w:val="25"/>
              </w:rPr>
              <w:t>Patērētāju interešu aizstāvības asociācijai un Patērētāju interešu aizstāvības klubam.</w:t>
            </w:r>
            <w:r w:rsidR="0089324F">
              <w:rPr>
                <w:rFonts w:ascii="Times New Roman" w:hAnsi="Times New Roman" w:cs="Times New Roman"/>
                <w:sz w:val="25"/>
                <w:szCs w:val="25"/>
              </w:rPr>
              <w:t xml:space="preserve"> </w:t>
            </w:r>
            <w:r w:rsidR="002233B6">
              <w:rPr>
                <w:rFonts w:ascii="Times New Roman" w:hAnsi="Times New Roman" w:cs="Times New Roman"/>
                <w:sz w:val="25"/>
                <w:szCs w:val="25"/>
              </w:rPr>
              <w:t>Atzinumi netika sniegti.</w:t>
            </w:r>
            <w:bookmarkStart w:id="6" w:name="_GoBack"/>
            <w:bookmarkEnd w:id="6"/>
          </w:p>
        </w:tc>
      </w:tr>
      <w:tr w:rsidR="007730EB" w:rsidRPr="00B6553A" w:rsidTr="0022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5" w:type="pct"/>
            <w:tcBorders>
              <w:bottom w:val="single" w:sz="4" w:space="0" w:color="auto"/>
            </w:tcBorders>
          </w:tcPr>
          <w:p w:rsidR="007730EB" w:rsidRPr="004E0DDF" w:rsidRDefault="007730EB" w:rsidP="00014187">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3.</w:t>
            </w:r>
          </w:p>
        </w:tc>
        <w:tc>
          <w:tcPr>
            <w:tcW w:w="1395" w:type="pct"/>
            <w:tcBorders>
              <w:bottom w:val="single" w:sz="4" w:space="0" w:color="auto"/>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Sabiedrības līdzdalības rezultāti</w:t>
            </w:r>
          </w:p>
        </w:tc>
        <w:tc>
          <w:tcPr>
            <w:tcW w:w="3297" w:type="pct"/>
            <w:tcBorders>
              <w:bottom w:val="single" w:sz="4" w:space="0" w:color="auto"/>
            </w:tcBorders>
          </w:tcPr>
          <w:p w:rsidR="00A26FEC" w:rsidRPr="004E0DDF" w:rsidRDefault="00E25528" w:rsidP="00CD2079">
            <w:pPr>
              <w:spacing w:after="0" w:line="240" w:lineRule="auto"/>
              <w:ind w:firstLine="127"/>
              <w:jc w:val="both"/>
              <w:rPr>
                <w:rFonts w:ascii="Times New Roman" w:eastAsia="Arial Unicode MS" w:hAnsi="Times New Roman" w:cs="Times New Roman"/>
                <w:color w:val="000000"/>
                <w:sz w:val="25"/>
                <w:szCs w:val="25"/>
                <w:highlight w:val="yellow"/>
                <w:lang w:eastAsia="lv-LV"/>
              </w:rPr>
            </w:pPr>
            <w:r w:rsidRPr="004E0DDF">
              <w:rPr>
                <w:rFonts w:ascii="Times New Roman" w:eastAsia="Times New Roman" w:hAnsi="Times New Roman" w:cs="Times New Roman"/>
                <w:color w:val="000000"/>
                <w:sz w:val="25"/>
                <w:szCs w:val="25"/>
                <w:lang w:eastAsia="lv-LV"/>
              </w:rPr>
              <w:t>Pēc</w:t>
            </w:r>
            <w:r w:rsidR="00CD2079">
              <w:rPr>
                <w:rFonts w:ascii="Times New Roman" w:eastAsia="Times New Roman" w:hAnsi="Times New Roman" w:cs="Times New Roman"/>
                <w:color w:val="000000"/>
                <w:sz w:val="25"/>
                <w:szCs w:val="25"/>
                <w:lang w:eastAsia="lv-LV"/>
              </w:rPr>
              <w:t xml:space="preserve"> informācijas</w:t>
            </w:r>
            <w:r w:rsidRPr="004E0DDF">
              <w:rPr>
                <w:rFonts w:ascii="Times New Roman" w:eastAsia="Times New Roman" w:hAnsi="Times New Roman" w:cs="Times New Roman"/>
                <w:color w:val="000000"/>
                <w:sz w:val="25"/>
                <w:szCs w:val="25"/>
                <w:lang w:eastAsia="lv-LV"/>
              </w:rPr>
              <w:t xml:space="preserve"> </w:t>
            </w:r>
            <w:r w:rsidR="00CD2079">
              <w:rPr>
                <w:rFonts w:ascii="Times New Roman" w:eastAsia="Times New Roman" w:hAnsi="Times New Roman" w:cs="Times New Roman"/>
                <w:color w:val="000000"/>
                <w:sz w:val="25"/>
                <w:szCs w:val="25"/>
                <w:lang w:eastAsia="lv-LV"/>
              </w:rPr>
              <w:t>publicēšanas Ekonomikas ministrijas mājas lapā iebildumi vai priekšlikumi no sabiedrības netika saņemti.</w:t>
            </w:r>
          </w:p>
        </w:tc>
      </w:tr>
      <w:tr w:rsidR="007730EB" w:rsidRPr="00B6553A" w:rsidTr="002233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5" w:type="pct"/>
            <w:tcBorders>
              <w:bottom w:val="single" w:sz="4" w:space="0" w:color="auto"/>
            </w:tcBorders>
          </w:tcPr>
          <w:p w:rsidR="007730EB" w:rsidRPr="004E0DDF" w:rsidRDefault="007730EB" w:rsidP="00014187">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4.</w:t>
            </w:r>
          </w:p>
        </w:tc>
        <w:tc>
          <w:tcPr>
            <w:tcW w:w="1395" w:type="pct"/>
            <w:tcBorders>
              <w:bottom w:val="single" w:sz="4" w:space="0" w:color="auto"/>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Cita informācija</w:t>
            </w:r>
          </w:p>
        </w:tc>
        <w:tc>
          <w:tcPr>
            <w:tcW w:w="3297" w:type="pct"/>
            <w:tcBorders>
              <w:bottom w:val="single" w:sz="4" w:space="0" w:color="auto"/>
            </w:tcBorders>
          </w:tcPr>
          <w:p w:rsidR="007730EB" w:rsidRPr="004E0DDF" w:rsidRDefault="007730EB" w:rsidP="00F366FD">
            <w:pPr>
              <w:spacing w:after="0" w:line="240" w:lineRule="auto"/>
              <w:rPr>
                <w:rFonts w:ascii="Times New Roman" w:eastAsia="Arial Unicode MS" w:hAnsi="Times New Roman" w:cs="Times New Roman"/>
                <w:color w:val="000000"/>
                <w:sz w:val="25"/>
                <w:szCs w:val="25"/>
              </w:rPr>
            </w:pPr>
            <w:r w:rsidRPr="004E0DDF">
              <w:rPr>
                <w:rFonts w:ascii="Times New Roman" w:eastAsia="Arial Unicode MS" w:hAnsi="Times New Roman" w:cs="Times New Roman"/>
                <w:color w:val="000000"/>
                <w:sz w:val="25"/>
                <w:szCs w:val="25"/>
              </w:rPr>
              <w:t>Nav.</w:t>
            </w:r>
          </w:p>
        </w:tc>
      </w:tr>
    </w:tbl>
    <w:p w:rsidR="007730EB" w:rsidRDefault="007730EB" w:rsidP="00F366FD">
      <w:pPr>
        <w:jc w:val="cente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46"/>
        <w:gridCol w:w="2493"/>
        <w:gridCol w:w="5825"/>
      </w:tblGrid>
      <w:tr w:rsidR="007730EB" w:rsidRPr="00B6553A" w:rsidTr="002507A8">
        <w:trPr>
          <w:trHeight w:val="222"/>
        </w:trPr>
        <w:tc>
          <w:tcPr>
            <w:tcW w:w="5000" w:type="pct"/>
            <w:gridSpan w:val="3"/>
            <w:tcBorders>
              <w:top w:val="single" w:sz="4" w:space="0" w:color="auto"/>
              <w:left w:val="outset" w:sz="6" w:space="0" w:color="000000"/>
              <w:bottom w:val="outset" w:sz="6" w:space="0" w:color="000000"/>
              <w:right w:val="outset" w:sz="6" w:space="0" w:color="000000"/>
            </w:tcBorders>
          </w:tcPr>
          <w:p w:rsidR="007730EB" w:rsidRPr="00B6553A" w:rsidRDefault="007730EB" w:rsidP="00F366FD">
            <w:pPr>
              <w:spacing w:after="0" w:line="240" w:lineRule="auto"/>
              <w:jc w:val="center"/>
              <w:rPr>
                <w:rFonts w:ascii="Times New Roman" w:eastAsia="Times New Roman" w:hAnsi="Times New Roman" w:cs="Times New Roman"/>
                <w:b/>
                <w:bCs/>
                <w:color w:val="000000"/>
                <w:sz w:val="28"/>
                <w:szCs w:val="24"/>
                <w:lang w:eastAsia="lv-LV"/>
              </w:rPr>
            </w:pPr>
            <w:r w:rsidRPr="00B6553A">
              <w:rPr>
                <w:rFonts w:ascii="Times New Roman" w:eastAsia="Times New Roman" w:hAnsi="Times New Roman" w:cs="Times New Roman"/>
                <w:b/>
                <w:bCs/>
                <w:color w:val="000000"/>
                <w:sz w:val="28"/>
                <w:szCs w:val="24"/>
                <w:lang w:eastAsia="lv-LV"/>
              </w:rPr>
              <w:t xml:space="preserve">VII. Tiesību akta projekta izpildes nodrošināšana un tās ietekme uz </w:t>
            </w:r>
            <w:r w:rsidRPr="00B6553A">
              <w:rPr>
                <w:rFonts w:ascii="Times New Roman" w:eastAsia="Times New Roman" w:hAnsi="Times New Roman" w:cs="Times New Roman"/>
                <w:b/>
                <w:bCs/>
                <w:color w:val="000000"/>
                <w:sz w:val="28"/>
                <w:szCs w:val="24"/>
                <w:lang w:eastAsia="lv-LV"/>
              </w:rPr>
              <w:lastRenderedPageBreak/>
              <w:t>institūcijām</w:t>
            </w:r>
          </w:p>
        </w:tc>
      </w:tr>
      <w:tr w:rsidR="007730EB" w:rsidRPr="004E0DDF" w:rsidTr="002507A8">
        <w:tc>
          <w:tcPr>
            <w:tcW w:w="0" w:type="auto"/>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lastRenderedPageBreak/>
              <w:t>1.</w:t>
            </w:r>
          </w:p>
        </w:tc>
        <w:tc>
          <w:tcPr>
            <w:tcW w:w="1406" w:type="pct"/>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7730EB" w:rsidRPr="004E0DDF" w:rsidRDefault="00E96EC6" w:rsidP="00D77A8E">
            <w:pPr>
              <w:spacing w:after="0" w:line="240" w:lineRule="auto"/>
              <w:ind w:firstLine="193"/>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 xml:space="preserve">Noteikumu projekta izpildi nodrošinās </w:t>
            </w:r>
            <w:r w:rsidR="007730EB" w:rsidRPr="004E0DDF">
              <w:rPr>
                <w:rFonts w:ascii="Times New Roman" w:eastAsia="Times New Roman" w:hAnsi="Times New Roman" w:cs="Times New Roman"/>
                <w:color w:val="000000"/>
                <w:sz w:val="25"/>
                <w:szCs w:val="25"/>
              </w:rPr>
              <w:t xml:space="preserve">Patērētāju tiesību aizsardzības centrs. </w:t>
            </w:r>
          </w:p>
        </w:tc>
      </w:tr>
      <w:tr w:rsidR="007730EB" w:rsidRPr="004E0DDF" w:rsidTr="002507A8">
        <w:tc>
          <w:tcPr>
            <w:tcW w:w="0" w:type="auto"/>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 xml:space="preserve">Projekta izpildes ietekme uz pārvaldes funkcijām un institucionālo struktūru. </w:t>
            </w:r>
          </w:p>
          <w:p w:rsidR="007730EB" w:rsidRPr="004E0DDF" w:rsidRDefault="007730EB" w:rsidP="00F366FD">
            <w:pPr>
              <w:spacing w:after="0" w:line="240" w:lineRule="auto"/>
              <w:ind w:firstLine="300"/>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Projekts šo jomu neskar.</w:t>
            </w:r>
          </w:p>
        </w:tc>
      </w:tr>
      <w:tr w:rsidR="007730EB" w:rsidRPr="004E0DDF" w:rsidTr="002507A8">
        <w:tc>
          <w:tcPr>
            <w:tcW w:w="0" w:type="auto"/>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lang w:eastAsia="lv-LV"/>
              </w:rPr>
            </w:pPr>
            <w:r w:rsidRPr="004E0DDF">
              <w:rPr>
                <w:rFonts w:ascii="Times New Roman" w:eastAsia="Times New Roman" w:hAnsi="Times New Roman" w:cs="Times New Roman"/>
                <w:color w:val="000000"/>
                <w:sz w:val="25"/>
                <w:szCs w:val="25"/>
                <w:lang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7730EB" w:rsidRPr="004E0DDF" w:rsidRDefault="007730EB" w:rsidP="00F366FD">
            <w:pPr>
              <w:spacing w:after="0" w:line="240" w:lineRule="auto"/>
              <w:jc w:val="both"/>
              <w:rPr>
                <w:rFonts w:ascii="Times New Roman" w:eastAsia="Times New Roman" w:hAnsi="Times New Roman" w:cs="Times New Roman"/>
                <w:color w:val="000000"/>
                <w:sz w:val="25"/>
                <w:szCs w:val="25"/>
              </w:rPr>
            </w:pPr>
            <w:r w:rsidRPr="004E0DDF">
              <w:rPr>
                <w:rFonts w:ascii="Times New Roman" w:eastAsia="Times New Roman" w:hAnsi="Times New Roman" w:cs="Times New Roman"/>
                <w:color w:val="000000"/>
                <w:sz w:val="25"/>
                <w:szCs w:val="25"/>
              </w:rPr>
              <w:t>Nav.</w:t>
            </w:r>
          </w:p>
        </w:tc>
      </w:tr>
    </w:tbl>
    <w:p w:rsidR="007730EB" w:rsidRPr="004E0DDF" w:rsidRDefault="007730EB" w:rsidP="00F366FD">
      <w:pPr>
        <w:keepNext/>
        <w:spacing w:after="0" w:line="240" w:lineRule="auto"/>
        <w:jc w:val="both"/>
        <w:outlineLvl w:val="0"/>
        <w:rPr>
          <w:rFonts w:ascii="Times New Roman" w:eastAsia="Times New Roman" w:hAnsi="Times New Roman" w:cs="Times New Roman"/>
          <w:sz w:val="25"/>
          <w:szCs w:val="25"/>
          <w:lang w:eastAsia="lv-LV"/>
        </w:rPr>
      </w:pPr>
    </w:p>
    <w:p w:rsidR="005F2034" w:rsidRPr="004E0DDF" w:rsidRDefault="005F2034" w:rsidP="005F2034">
      <w:pPr>
        <w:spacing w:after="0" w:line="240" w:lineRule="auto"/>
        <w:jc w:val="both"/>
        <w:rPr>
          <w:rFonts w:ascii="Times New Roman" w:eastAsia="Times New Roman" w:hAnsi="Times New Roman" w:cs="Times New Roman"/>
          <w:i/>
          <w:color w:val="000000"/>
          <w:sz w:val="25"/>
          <w:szCs w:val="25"/>
          <w:lang w:eastAsia="lv-LV"/>
        </w:rPr>
      </w:pPr>
      <w:r w:rsidRPr="004E0DDF">
        <w:rPr>
          <w:rFonts w:ascii="Times New Roman" w:eastAsia="Times New Roman" w:hAnsi="Times New Roman" w:cs="Times New Roman"/>
          <w:i/>
          <w:color w:val="000000"/>
          <w:sz w:val="25"/>
          <w:szCs w:val="25"/>
          <w:lang w:eastAsia="lv-LV"/>
        </w:rPr>
        <w:t>Anotācijas III un IV sadaļa – projekts šīs jomas neskar.</w:t>
      </w:r>
    </w:p>
    <w:p w:rsidR="005F2034" w:rsidRDefault="005F2034" w:rsidP="00F366FD">
      <w:pPr>
        <w:keepNext/>
        <w:spacing w:after="0" w:line="240" w:lineRule="auto"/>
        <w:jc w:val="both"/>
        <w:outlineLvl w:val="0"/>
        <w:rPr>
          <w:rFonts w:ascii="Times New Roman" w:eastAsia="Times New Roman" w:hAnsi="Times New Roman" w:cs="Times New Roman"/>
          <w:sz w:val="28"/>
          <w:szCs w:val="28"/>
          <w:lang w:eastAsia="lv-LV"/>
        </w:rPr>
      </w:pPr>
    </w:p>
    <w:p w:rsidR="007730EB" w:rsidRDefault="007730EB" w:rsidP="00F366FD">
      <w:pPr>
        <w:keepNext/>
        <w:spacing w:after="0" w:line="240" w:lineRule="auto"/>
        <w:jc w:val="both"/>
        <w:outlineLvl w:val="0"/>
        <w:rPr>
          <w:rFonts w:ascii="Times New Roman" w:eastAsia="Times New Roman" w:hAnsi="Times New Roman" w:cs="Times New Roman"/>
          <w:sz w:val="28"/>
          <w:szCs w:val="28"/>
          <w:lang w:eastAsia="lv-LV"/>
        </w:rPr>
      </w:pPr>
    </w:p>
    <w:p w:rsidR="007730EB" w:rsidRPr="00F35252" w:rsidRDefault="007730EB" w:rsidP="00F366FD">
      <w:pPr>
        <w:keepNext/>
        <w:spacing w:after="0" w:line="240" w:lineRule="auto"/>
        <w:jc w:val="both"/>
        <w:outlineLvl w:val="0"/>
        <w:rPr>
          <w:rFonts w:ascii="Times New Roman" w:eastAsia="Times New Roman" w:hAnsi="Times New Roman" w:cs="Times New Roman"/>
          <w:sz w:val="28"/>
          <w:szCs w:val="28"/>
          <w:lang w:eastAsia="lv-LV"/>
        </w:rPr>
      </w:pPr>
      <w:r w:rsidRPr="00F35252">
        <w:rPr>
          <w:rFonts w:ascii="Times New Roman" w:eastAsia="Times New Roman" w:hAnsi="Times New Roman" w:cs="Times New Roman"/>
          <w:sz w:val="28"/>
          <w:szCs w:val="28"/>
          <w:lang w:eastAsia="lv-LV"/>
        </w:rPr>
        <w:t>Ekonomikas ministrs</w:t>
      </w:r>
      <w:r w:rsidRPr="00F3525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proofErr w:type="spellStart"/>
      <w:r>
        <w:rPr>
          <w:rFonts w:ascii="Times New Roman" w:eastAsia="Times New Roman" w:hAnsi="Times New Roman" w:cs="Times New Roman"/>
          <w:sz w:val="28"/>
          <w:szCs w:val="28"/>
          <w:lang w:eastAsia="lv-LV"/>
        </w:rPr>
        <w:t>V</w:t>
      </w:r>
      <w:r w:rsidRPr="00F3525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Dombrovskis</w:t>
      </w:r>
      <w:proofErr w:type="spellEnd"/>
    </w:p>
    <w:p w:rsidR="007730EB" w:rsidRDefault="007730EB" w:rsidP="00F366FD">
      <w:pPr>
        <w:spacing w:after="0" w:line="240" w:lineRule="auto"/>
        <w:rPr>
          <w:rFonts w:ascii="Times New Roman" w:eastAsia="Times New Roman" w:hAnsi="Times New Roman" w:cs="Times New Roman"/>
          <w:color w:val="000000"/>
          <w:sz w:val="20"/>
          <w:szCs w:val="20"/>
        </w:rPr>
      </w:pPr>
    </w:p>
    <w:p w:rsidR="007730EB" w:rsidRPr="00F35252" w:rsidRDefault="007730EB" w:rsidP="00F366FD">
      <w:pPr>
        <w:spacing w:after="0" w:line="240" w:lineRule="auto"/>
        <w:rPr>
          <w:rFonts w:ascii="Times New Roman" w:eastAsia="Times New Roman" w:hAnsi="Times New Roman" w:cs="Times New Roman"/>
          <w:color w:val="000000"/>
          <w:sz w:val="20"/>
          <w:szCs w:val="20"/>
        </w:rPr>
      </w:pPr>
    </w:p>
    <w:p w:rsidR="007730EB" w:rsidRPr="00F35252" w:rsidRDefault="007730EB" w:rsidP="00F366FD">
      <w:pPr>
        <w:tabs>
          <w:tab w:val="left" w:pos="6237"/>
        </w:tabs>
        <w:spacing w:after="0" w:line="240" w:lineRule="auto"/>
        <w:rPr>
          <w:rFonts w:ascii="Times New Roman" w:eastAsia="Times New Roman" w:hAnsi="Times New Roman" w:cs="Times New Roman"/>
          <w:bCs/>
          <w:color w:val="000000"/>
          <w:sz w:val="28"/>
          <w:szCs w:val="28"/>
        </w:rPr>
      </w:pPr>
    </w:p>
    <w:p w:rsidR="00F447F3" w:rsidRDefault="007730EB" w:rsidP="00F366F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Vīza: </w:t>
      </w:r>
    </w:p>
    <w:p w:rsidR="007730EB" w:rsidRPr="0003522B" w:rsidRDefault="007730EB" w:rsidP="00F366FD">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Valsts sekretārs</w:t>
      </w:r>
      <w:r w:rsidRPr="00F35252">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r>
      <w:r w:rsidR="00F447F3">
        <w:rPr>
          <w:rFonts w:ascii="Times New Roman" w:eastAsia="Times New Roman" w:hAnsi="Times New Roman" w:cs="Times New Roman"/>
          <w:bCs/>
          <w:color w:val="000000"/>
          <w:sz w:val="28"/>
          <w:szCs w:val="28"/>
        </w:rPr>
        <w:t xml:space="preserve">          </w:t>
      </w:r>
      <w:proofErr w:type="spellStart"/>
      <w:r w:rsidR="0003522B">
        <w:rPr>
          <w:rFonts w:ascii="Times New Roman" w:eastAsia="Times New Roman" w:hAnsi="Times New Roman" w:cs="Times New Roman"/>
          <w:bCs/>
          <w:color w:val="000000"/>
          <w:sz w:val="28"/>
          <w:szCs w:val="28"/>
        </w:rPr>
        <w:t>M</w:t>
      </w:r>
      <w:r>
        <w:rPr>
          <w:rFonts w:ascii="Times New Roman" w:eastAsia="Times New Roman" w:hAnsi="Times New Roman" w:cs="Times New Roman"/>
          <w:bCs/>
          <w:color w:val="000000"/>
          <w:sz w:val="28"/>
          <w:szCs w:val="28"/>
        </w:rPr>
        <w:t>.</w:t>
      </w:r>
      <w:r w:rsidR="0003522B">
        <w:rPr>
          <w:rFonts w:ascii="Times New Roman" w:eastAsia="Times New Roman" w:hAnsi="Times New Roman" w:cs="Times New Roman"/>
          <w:bCs/>
          <w:color w:val="000000"/>
          <w:sz w:val="28"/>
          <w:szCs w:val="28"/>
        </w:rPr>
        <w:t>Lazdovskis</w:t>
      </w:r>
      <w:proofErr w:type="spellEnd"/>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58450B" w:rsidRDefault="0058450B"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E0DDF" w:rsidRDefault="004E0DDF"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F447F3" w:rsidRDefault="00F447F3"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492D26" w:rsidRDefault="00492D26" w:rsidP="0058450B">
      <w:pPr>
        <w:tabs>
          <w:tab w:val="left" w:pos="0"/>
        </w:tabs>
        <w:spacing w:after="0" w:line="240" w:lineRule="auto"/>
        <w:jc w:val="both"/>
        <w:rPr>
          <w:rFonts w:ascii="Times New Roman" w:eastAsia="Times New Roman" w:hAnsi="Times New Roman" w:cs="Times New Roman"/>
          <w:color w:val="000000"/>
          <w:sz w:val="20"/>
          <w:szCs w:val="24"/>
          <w:lang w:eastAsia="lv-LV"/>
        </w:rPr>
      </w:pPr>
    </w:p>
    <w:p w:rsidR="00F447F3" w:rsidRDefault="005A6D03"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w:t>
      </w:r>
      <w:r w:rsidR="00BD3933">
        <w:rPr>
          <w:rFonts w:ascii="Times New Roman" w:eastAsia="Times New Roman" w:hAnsi="Times New Roman" w:cs="Times New Roman"/>
          <w:color w:val="000000"/>
          <w:sz w:val="20"/>
          <w:szCs w:val="20"/>
          <w:lang w:eastAsia="lv-LV"/>
        </w:rPr>
        <w:t>9</w:t>
      </w:r>
      <w:r w:rsidR="00F447F3">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6</w:t>
      </w:r>
      <w:r w:rsidR="00F447F3">
        <w:rPr>
          <w:rFonts w:ascii="Times New Roman" w:eastAsia="Times New Roman" w:hAnsi="Times New Roman" w:cs="Times New Roman"/>
          <w:color w:val="000000"/>
          <w:sz w:val="20"/>
          <w:szCs w:val="20"/>
          <w:lang w:eastAsia="lv-LV"/>
        </w:rPr>
        <w:t xml:space="preserve">.2014 </w:t>
      </w:r>
      <w:r>
        <w:rPr>
          <w:rFonts w:ascii="Times New Roman" w:eastAsia="Times New Roman" w:hAnsi="Times New Roman" w:cs="Times New Roman"/>
          <w:color w:val="000000"/>
          <w:sz w:val="20"/>
          <w:szCs w:val="20"/>
          <w:lang w:eastAsia="lv-LV"/>
        </w:rPr>
        <w:t>14</w:t>
      </w:r>
      <w:r w:rsidR="00F447F3">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50</w:t>
      </w:r>
    </w:p>
    <w:p w:rsidR="0058450B" w:rsidRPr="0058450B" w:rsidRDefault="0089324F"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fldSimple w:instr=" NUMWORDS  \* MERGEFORMAT ">
        <w:r w:rsidR="00DE30FD">
          <w:rPr>
            <w:rFonts w:ascii="Times New Roman" w:eastAsia="Times New Roman" w:hAnsi="Times New Roman" w:cs="Times New Roman"/>
            <w:noProof/>
            <w:color w:val="000000"/>
            <w:sz w:val="20"/>
            <w:szCs w:val="20"/>
            <w:lang w:eastAsia="lv-LV"/>
          </w:rPr>
          <w:t>1</w:t>
        </w:r>
        <w:r w:rsidR="000710B4">
          <w:rPr>
            <w:rFonts w:ascii="Times New Roman" w:eastAsia="Times New Roman" w:hAnsi="Times New Roman" w:cs="Times New Roman"/>
            <w:noProof/>
            <w:color w:val="000000"/>
            <w:sz w:val="20"/>
            <w:szCs w:val="20"/>
            <w:lang w:eastAsia="lv-LV"/>
          </w:rPr>
          <w:t>5</w:t>
        </w:r>
        <w:r w:rsidR="00B21DBC">
          <w:rPr>
            <w:rFonts w:ascii="Times New Roman" w:eastAsia="Times New Roman" w:hAnsi="Times New Roman" w:cs="Times New Roman"/>
            <w:noProof/>
            <w:color w:val="000000"/>
            <w:sz w:val="20"/>
            <w:szCs w:val="20"/>
            <w:lang w:eastAsia="lv-LV"/>
          </w:rPr>
          <w:t>38</w:t>
        </w:r>
      </w:fldSimple>
    </w:p>
    <w:p w:rsidR="0058450B" w:rsidRPr="0058450B" w:rsidRDefault="00BD3933"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D.Ločmele</w:t>
      </w:r>
      <w:r w:rsidR="0058450B" w:rsidRPr="003A3D80">
        <w:rPr>
          <w:rFonts w:ascii="Times New Roman" w:eastAsia="Times New Roman" w:hAnsi="Times New Roman" w:cs="Times New Roman"/>
          <w:color w:val="000000"/>
          <w:sz w:val="20"/>
          <w:szCs w:val="20"/>
          <w:lang w:eastAsia="lv-LV"/>
        </w:rPr>
        <w:t>, 670131</w:t>
      </w:r>
      <w:r>
        <w:rPr>
          <w:rFonts w:ascii="Times New Roman" w:eastAsia="Times New Roman" w:hAnsi="Times New Roman" w:cs="Times New Roman"/>
          <w:color w:val="000000"/>
          <w:sz w:val="20"/>
          <w:szCs w:val="20"/>
          <w:lang w:eastAsia="lv-LV"/>
        </w:rPr>
        <w:t>07</w:t>
      </w:r>
    </w:p>
    <w:p w:rsidR="0058450B" w:rsidRPr="0058450B" w:rsidRDefault="002233B6" w:rsidP="0058450B">
      <w:pPr>
        <w:tabs>
          <w:tab w:val="left" w:pos="0"/>
        </w:tabs>
        <w:spacing w:after="0" w:line="240" w:lineRule="auto"/>
        <w:jc w:val="both"/>
        <w:rPr>
          <w:rFonts w:ascii="Times New Roman" w:eastAsia="Times New Roman" w:hAnsi="Times New Roman" w:cs="Times New Roman"/>
          <w:color w:val="000000"/>
          <w:sz w:val="20"/>
          <w:szCs w:val="20"/>
          <w:lang w:eastAsia="lv-LV"/>
        </w:rPr>
      </w:pPr>
      <w:hyperlink r:id="rId7" w:history="1">
        <w:r w:rsidR="00BD3933" w:rsidRPr="00DC7809">
          <w:rPr>
            <w:rStyle w:val="Hyperlink"/>
            <w:rFonts w:ascii="Times New Roman" w:eastAsia="Times New Roman" w:hAnsi="Times New Roman" w:cs="Times New Roman"/>
            <w:sz w:val="20"/>
            <w:szCs w:val="20"/>
            <w:lang w:eastAsia="lv-LV"/>
          </w:rPr>
          <w:t>Dana.Locmele@em.gov.lv</w:t>
        </w:r>
      </w:hyperlink>
    </w:p>
    <w:p w:rsidR="007444D3" w:rsidRDefault="007444D3" w:rsidP="00F366FD"/>
    <w:sectPr w:rsidR="007444D3" w:rsidSect="00A534A8">
      <w:headerReference w:type="even" r:id="rId8"/>
      <w:headerReference w:type="default" r:id="rId9"/>
      <w:footerReference w:type="even" r:id="rId10"/>
      <w:footerReference w:type="default" r:id="rId11"/>
      <w:headerReference w:type="first" r:id="rId12"/>
      <w:footerReference w:type="first" r:id="rId13"/>
      <w:pgSz w:w="11906" w:h="16838"/>
      <w:pgMar w:top="1135"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0F" w:rsidRDefault="007A230F" w:rsidP="007730EB">
      <w:pPr>
        <w:spacing w:after="0" w:line="240" w:lineRule="auto"/>
      </w:pPr>
      <w:r>
        <w:separator/>
      </w:r>
    </w:p>
  </w:endnote>
  <w:endnote w:type="continuationSeparator" w:id="0">
    <w:p w:rsidR="007A230F" w:rsidRDefault="007A230F" w:rsidP="0077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0D" w:rsidRDefault="0058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EB" w:rsidRPr="00ED52F9" w:rsidRDefault="0089324F" w:rsidP="007730EB">
    <w:pPr>
      <w:pStyle w:val="Footer"/>
      <w:tabs>
        <w:tab w:val="clear" w:pos="4153"/>
        <w:tab w:val="clear" w:pos="8306"/>
      </w:tabs>
      <w:jc w:val="both"/>
      <w:rPr>
        <w:rFonts w:ascii="Times New Roman" w:hAnsi="Times New Roman" w:cs="Times New Roman"/>
      </w:rPr>
    </w:pPr>
    <w:fldSimple w:instr=" FILENAME   \* MERGEFORMAT ">
      <w:r w:rsidR="00CD2079" w:rsidRPr="00CD2079">
        <w:rPr>
          <w:rFonts w:ascii="Times New Roman" w:hAnsi="Times New Roman" w:cs="Times New Roman"/>
          <w:noProof/>
          <w:sz w:val="20"/>
          <w:szCs w:val="20"/>
        </w:rPr>
        <w:t>EMAnot_090614_grozRotall 363</w:t>
      </w:r>
    </w:fldSimple>
    <w:r w:rsidR="007730EB" w:rsidRPr="00ED52F9">
      <w:rPr>
        <w:rFonts w:ascii="Times New Roman" w:hAnsi="Times New Roman" w:cs="Times New Roman"/>
        <w:sz w:val="20"/>
        <w:szCs w:val="20"/>
      </w:rPr>
      <w:t>; Ministru kabineta noteikumu projekts „</w:t>
    </w:r>
    <w:r w:rsidR="007730EB" w:rsidRPr="00ED52F9">
      <w:rPr>
        <w:rFonts w:ascii="Times New Roman" w:hAnsi="Times New Roman" w:cs="Times New Roman"/>
        <w:bCs/>
        <w:sz w:val="20"/>
        <w:szCs w:val="20"/>
      </w:rPr>
      <w:t>Grozījumi Ministru kabineta 2011.gada 15.februāra noteikumos Nr.132 „</w:t>
    </w:r>
    <w:r w:rsidR="007730EB" w:rsidRPr="00ED52F9">
      <w:rPr>
        <w:rFonts w:ascii="Times New Roman" w:hAnsi="Times New Roman" w:cs="Times New Roman"/>
        <w:sz w:val="20"/>
        <w:szCs w:val="20"/>
      </w:rPr>
      <w:t>Rotaļlietu drošuma noteikumi””</w:t>
    </w:r>
  </w:p>
  <w:p w:rsidR="00845ABB" w:rsidRPr="007730EB" w:rsidRDefault="002233B6" w:rsidP="007730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EB" w:rsidRPr="00ED52F9" w:rsidRDefault="0089324F" w:rsidP="007730EB">
    <w:pPr>
      <w:pStyle w:val="Footer"/>
      <w:tabs>
        <w:tab w:val="clear" w:pos="4153"/>
        <w:tab w:val="clear" w:pos="8306"/>
      </w:tabs>
      <w:jc w:val="both"/>
      <w:rPr>
        <w:rFonts w:ascii="Times New Roman" w:hAnsi="Times New Roman" w:cs="Times New Roman"/>
      </w:rPr>
    </w:pPr>
    <w:fldSimple w:instr=" FILENAME   \* MERGEFORMAT ">
      <w:r w:rsidR="00CD2079" w:rsidRPr="00CD2079">
        <w:rPr>
          <w:rFonts w:ascii="Times New Roman" w:hAnsi="Times New Roman" w:cs="Times New Roman"/>
          <w:noProof/>
          <w:sz w:val="20"/>
          <w:szCs w:val="20"/>
        </w:rPr>
        <w:t>EMAnot_090614_grozRotall 363</w:t>
      </w:r>
    </w:fldSimple>
    <w:r w:rsidR="007730EB" w:rsidRPr="00ED52F9">
      <w:rPr>
        <w:rFonts w:ascii="Times New Roman" w:hAnsi="Times New Roman" w:cs="Times New Roman"/>
        <w:sz w:val="20"/>
        <w:szCs w:val="20"/>
      </w:rPr>
      <w:t>; Ministru kabineta noteikumu projekts „</w:t>
    </w:r>
    <w:r w:rsidR="007730EB" w:rsidRPr="00ED52F9">
      <w:rPr>
        <w:rFonts w:ascii="Times New Roman" w:hAnsi="Times New Roman" w:cs="Times New Roman"/>
        <w:bCs/>
        <w:sz w:val="20"/>
        <w:szCs w:val="20"/>
      </w:rPr>
      <w:t>Grozījumi Ministru kabineta 2011.gada 15.februāra noteikumos Nr.132 „</w:t>
    </w:r>
    <w:r w:rsidR="007730EB" w:rsidRPr="00ED52F9">
      <w:rPr>
        <w:rFonts w:ascii="Times New Roman" w:hAnsi="Times New Roman" w:cs="Times New Roman"/>
        <w:sz w:val="20"/>
        <w:szCs w:val="20"/>
      </w:rPr>
      <w:t>Rotaļlietu drošuma noteikumi””</w:t>
    </w:r>
  </w:p>
  <w:p w:rsidR="007730EB" w:rsidRDefault="0077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0F" w:rsidRDefault="007A230F" w:rsidP="007730EB">
      <w:pPr>
        <w:spacing w:after="0" w:line="240" w:lineRule="auto"/>
      </w:pPr>
      <w:r>
        <w:separator/>
      </w:r>
    </w:p>
  </w:footnote>
  <w:footnote w:type="continuationSeparator" w:id="0">
    <w:p w:rsidR="007A230F" w:rsidRDefault="007A230F" w:rsidP="00773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0D" w:rsidRDefault="00583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24060"/>
      <w:docPartObj>
        <w:docPartGallery w:val="Page Numbers (Top of Page)"/>
        <w:docPartUnique/>
      </w:docPartObj>
    </w:sdtPr>
    <w:sdtEndPr>
      <w:rPr>
        <w:noProof/>
      </w:rPr>
    </w:sdtEndPr>
    <w:sdtContent>
      <w:p w:rsidR="00E23189" w:rsidRDefault="00F24381">
        <w:pPr>
          <w:pStyle w:val="Header"/>
          <w:jc w:val="center"/>
        </w:pPr>
        <w:r>
          <w:fldChar w:fldCharType="begin"/>
        </w:r>
        <w:r w:rsidR="003A3D80">
          <w:instrText xml:space="preserve"> PAGE   \* MERGEFORMAT </w:instrText>
        </w:r>
        <w:r>
          <w:fldChar w:fldCharType="separate"/>
        </w:r>
        <w:r w:rsidR="002233B6">
          <w:rPr>
            <w:noProof/>
          </w:rPr>
          <w:t>6</w:t>
        </w:r>
        <w:r>
          <w:rPr>
            <w:noProof/>
          </w:rPr>
          <w:fldChar w:fldCharType="end"/>
        </w:r>
      </w:p>
    </w:sdtContent>
  </w:sdt>
  <w:p w:rsidR="00E23189" w:rsidRDefault="00223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0D" w:rsidRDefault="00583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EB"/>
    <w:rsid w:val="00010431"/>
    <w:rsid w:val="0001173A"/>
    <w:rsid w:val="000122DC"/>
    <w:rsid w:val="00014187"/>
    <w:rsid w:val="00017D12"/>
    <w:rsid w:val="0003522B"/>
    <w:rsid w:val="000710B4"/>
    <w:rsid w:val="00090EDB"/>
    <w:rsid w:val="000A4024"/>
    <w:rsid w:val="000B5736"/>
    <w:rsid w:val="000C1A68"/>
    <w:rsid w:val="000E29AB"/>
    <w:rsid w:val="000E5A68"/>
    <w:rsid w:val="000E7971"/>
    <w:rsid w:val="000F3039"/>
    <w:rsid w:val="000F6C54"/>
    <w:rsid w:val="00107261"/>
    <w:rsid w:val="0012740A"/>
    <w:rsid w:val="00127D00"/>
    <w:rsid w:val="0018624D"/>
    <w:rsid w:val="001864B6"/>
    <w:rsid w:val="00192640"/>
    <w:rsid w:val="001B4A1C"/>
    <w:rsid w:val="001D6AFB"/>
    <w:rsid w:val="001F3339"/>
    <w:rsid w:val="002233B6"/>
    <w:rsid w:val="00233809"/>
    <w:rsid w:val="002431E6"/>
    <w:rsid w:val="002515A8"/>
    <w:rsid w:val="0025656B"/>
    <w:rsid w:val="0025680C"/>
    <w:rsid w:val="002633A0"/>
    <w:rsid w:val="002677FC"/>
    <w:rsid w:val="002A6C2C"/>
    <w:rsid w:val="002F39A5"/>
    <w:rsid w:val="003012E9"/>
    <w:rsid w:val="00307713"/>
    <w:rsid w:val="003111ED"/>
    <w:rsid w:val="00342FEE"/>
    <w:rsid w:val="00347257"/>
    <w:rsid w:val="0035701D"/>
    <w:rsid w:val="00384557"/>
    <w:rsid w:val="003A3D80"/>
    <w:rsid w:val="003A45F9"/>
    <w:rsid w:val="003B3EF5"/>
    <w:rsid w:val="003B6B89"/>
    <w:rsid w:val="003C68F0"/>
    <w:rsid w:val="003D3F8C"/>
    <w:rsid w:val="003E2B57"/>
    <w:rsid w:val="003E4040"/>
    <w:rsid w:val="003E4086"/>
    <w:rsid w:val="004166CF"/>
    <w:rsid w:val="00420786"/>
    <w:rsid w:val="004236D5"/>
    <w:rsid w:val="00424EA4"/>
    <w:rsid w:val="00431DD7"/>
    <w:rsid w:val="00432A45"/>
    <w:rsid w:val="0044550C"/>
    <w:rsid w:val="004528BA"/>
    <w:rsid w:val="00457768"/>
    <w:rsid w:val="00486A41"/>
    <w:rsid w:val="00491B1D"/>
    <w:rsid w:val="00492D26"/>
    <w:rsid w:val="004A6258"/>
    <w:rsid w:val="004A677C"/>
    <w:rsid w:val="004B595D"/>
    <w:rsid w:val="004C538B"/>
    <w:rsid w:val="004E0DDF"/>
    <w:rsid w:val="004E1DDE"/>
    <w:rsid w:val="004E21AB"/>
    <w:rsid w:val="004E3AC3"/>
    <w:rsid w:val="005377C4"/>
    <w:rsid w:val="00554FD8"/>
    <w:rsid w:val="00557DC9"/>
    <w:rsid w:val="005600A6"/>
    <w:rsid w:val="00570E43"/>
    <w:rsid w:val="00576CB1"/>
    <w:rsid w:val="0058320D"/>
    <w:rsid w:val="00583C2C"/>
    <w:rsid w:val="0058450B"/>
    <w:rsid w:val="005907C2"/>
    <w:rsid w:val="005A6D03"/>
    <w:rsid w:val="005B08C9"/>
    <w:rsid w:val="005D213D"/>
    <w:rsid w:val="005D4369"/>
    <w:rsid w:val="005F2034"/>
    <w:rsid w:val="006328D7"/>
    <w:rsid w:val="006522FA"/>
    <w:rsid w:val="00662523"/>
    <w:rsid w:val="006672EE"/>
    <w:rsid w:val="006816DE"/>
    <w:rsid w:val="006A0418"/>
    <w:rsid w:val="006A3A9F"/>
    <w:rsid w:val="006C2297"/>
    <w:rsid w:val="006C757D"/>
    <w:rsid w:val="006F0D31"/>
    <w:rsid w:val="006F5620"/>
    <w:rsid w:val="007161E9"/>
    <w:rsid w:val="00730E41"/>
    <w:rsid w:val="00732194"/>
    <w:rsid w:val="00740F06"/>
    <w:rsid w:val="0074172F"/>
    <w:rsid w:val="007444D3"/>
    <w:rsid w:val="00770366"/>
    <w:rsid w:val="00772CDC"/>
    <w:rsid w:val="007730EB"/>
    <w:rsid w:val="007A230F"/>
    <w:rsid w:val="007C6688"/>
    <w:rsid w:val="007D0DDC"/>
    <w:rsid w:val="007E3E84"/>
    <w:rsid w:val="007E3F36"/>
    <w:rsid w:val="007F4458"/>
    <w:rsid w:val="00816920"/>
    <w:rsid w:val="00837F80"/>
    <w:rsid w:val="00872562"/>
    <w:rsid w:val="0089324F"/>
    <w:rsid w:val="008A46EE"/>
    <w:rsid w:val="008B19F8"/>
    <w:rsid w:val="00922650"/>
    <w:rsid w:val="00935EA9"/>
    <w:rsid w:val="00956BE6"/>
    <w:rsid w:val="009703DB"/>
    <w:rsid w:val="009736F6"/>
    <w:rsid w:val="009B2B1A"/>
    <w:rsid w:val="009B3FE2"/>
    <w:rsid w:val="009D53B7"/>
    <w:rsid w:val="00A22E18"/>
    <w:rsid w:val="00A26FEC"/>
    <w:rsid w:val="00A45F89"/>
    <w:rsid w:val="00A534A8"/>
    <w:rsid w:val="00A96536"/>
    <w:rsid w:val="00AA5C73"/>
    <w:rsid w:val="00AE1B9A"/>
    <w:rsid w:val="00B01698"/>
    <w:rsid w:val="00B21DBC"/>
    <w:rsid w:val="00B245D9"/>
    <w:rsid w:val="00B32A0B"/>
    <w:rsid w:val="00B40BB0"/>
    <w:rsid w:val="00B45F50"/>
    <w:rsid w:val="00B4717C"/>
    <w:rsid w:val="00B472E6"/>
    <w:rsid w:val="00B50509"/>
    <w:rsid w:val="00B65C4A"/>
    <w:rsid w:val="00B84A7B"/>
    <w:rsid w:val="00B84F14"/>
    <w:rsid w:val="00B85529"/>
    <w:rsid w:val="00B90701"/>
    <w:rsid w:val="00B95572"/>
    <w:rsid w:val="00BB0026"/>
    <w:rsid w:val="00BB1A69"/>
    <w:rsid w:val="00BD3933"/>
    <w:rsid w:val="00BF73C3"/>
    <w:rsid w:val="00C062D7"/>
    <w:rsid w:val="00C07753"/>
    <w:rsid w:val="00C12D96"/>
    <w:rsid w:val="00C6208E"/>
    <w:rsid w:val="00C929C9"/>
    <w:rsid w:val="00C942DA"/>
    <w:rsid w:val="00CA1496"/>
    <w:rsid w:val="00CA30FC"/>
    <w:rsid w:val="00CD2079"/>
    <w:rsid w:val="00D25EBC"/>
    <w:rsid w:val="00D3025E"/>
    <w:rsid w:val="00D547E7"/>
    <w:rsid w:val="00D77A8E"/>
    <w:rsid w:val="00D84666"/>
    <w:rsid w:val="00D85D13"/>
    <w:rsid w:val="00D91FAF"/>
    <w:rsid w:val="00DA6935"/>
    <w:rsid w:val="00DB41C6"/>
    <w:rsid w:val="00DC15E9"/>
    <w:rsid w:val="00DE30FD"/>
    <w:rsid w:val="00DE6720"/>
    <w:rsid w:val="00DE7D3C"/>
    <w:rsid w:val="00DF1551"/>
    <w:rsid w:val="00E009A5"/>
    <w:rsid w:val="00E15C21"/>
    <w:rsid w:val="00E25528"/>
    <w:rsid w:val="00E4061F"/>
    <w:rsid w:val="00E713A6"/>
    <w:rsid w:val="00E7180E"/>
    <w:rsid w:val="00E74B1B"/>
    <w:rsid w:val="00E82602"/>
    <w:rsid w:val="00E96EC6"/>
    <w:rsid w:val="00EC550C"/>
    <w:rsid w:val="00ED702D"/>
    <w:rsid w:val="00EE620E"/>
    <w:rsid w:val="00F24381"/>
    <w:rsid w:val="00F35AFD"/>
    <w:rsid w:val="00F36491"/>
    <w:rsid w:val="00F366FD"/>
    <w:rsid w:val="00F447F3"/>
    <w:rsid w:val="00F46AA6"/>
    <w:rsid w:val="00F65EB2"/>
    <w:rsid w:val="00F71B52"/>
    <w:rsid w:val="00F950E3"/>
    <w:rsid w:val="00FA249B"/>
    <w:rsid w:val="00FA4BD9"/>
    <w:rsid w:val="00FC1943"/>
    <w:rsid w:val="00FC3300"/>
    <w:rsid w:val="00FD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730EB"/>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7730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30EB"/>
  </w:style>
  <w:style w:type="paragraph" w:styleId="Footer">
    <w:name w:val="footer"/>
    <w:basedOn w:val="Normal"/>
    <w:link w:val="FooterChar"/>
    <w:uiPriority w:val="99"/>
    <w:unhideWhenUsed/>
    <w:rsid w:val="007730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30EB"/>
  </w:style>
  <w:style w:type="character" w:styleId="Emphasis">
    <w:name w:val="Emphasis"/>
    <w:basedOn w:val="DefaultParagraphFont"/>
    <w:uiPriority w:val="20"/>
    <w:qFormat/>
    <w:rsid w:val="001D6AFB"/>
    <w:rPr>
      <w:i/>
      <w:iCs/>
    </w:rPr>
  </w:style>
  <w:style w:type="paragraph" w:styleId="BalloonText">
    <w:name w:val="Balloon Text"/>
    <w:basedOn w:val="Normal"/>
    <w:link w:val="BalloonTextChar"/>
    <w:uiPriority w:val="99"/>
    <w:semiHidden/>
    <w:unhideWhenUsed/>
    <w:rsid w:val="00A96536"/>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A96536"/>
    <w:rPr>
      <w:rFonts w:ascii="Arial" w:hAnsi="Arial" w:cs="Arial"/>
      <w:sz w:val="16"/>
      <w:szCs w:val="16"/>
    </w:rPr>
  </w:style>
  <w:style w:type="character" w:styleId="Hyperlink">
    <w:name w:val="Hyperlink"/>
    <w:basedOn w:val="DefaultParagraphFont"/>
    <w:uiPriority w:val="99"/>
    <w:unhideWhenUsed/>
    <w:rsid w:val="00BD3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a.Locmele@e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11279</Characters>
  <Application>Microsoft Office Word</Application>
  <DocSecurity>0</DocSecurity>
  <Lines>469</Lines>
  <Paragraphs>204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15.februāra noteikumos Nr.132 „Rotaļlietu drošuma noteikumi”” sākotnējās ietekmes novērtējuma ziņojums(anotācija)</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15.februāra noteikumos Nr.132 „Rotaļlietu drošuma noteikumi”” sākotnējās ietekmes novērtējuma ziņojums(anotācija)</dc:title>
  <dc:subject>Anotācija</dc:subject>
  <dc:creator>Ieva Zunde</dc:creator>
  <dc:description>Ieva.Zunde@em.gov.lv;
t. 67013156</dc:description>
  <cp:lastModifiedBy>Edgars Višs</cp:lastModifiedBy>
  <cp:revision>2</cp:revision>
  <cp:lastPrinted>2014-07-09T11:26:00Z</cp:lastPrinted>
  <dcterms:created xsi:type="dcterms:W3CDTF">2014-07-11T10:28:00Z</dcterms:created>
  <dcterms:modified xsi:type="dcterms:W3CDTF">2014-07-11T10:28:00Z</dcterms:modified>
</cp:coreProperties>
</file>